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4AA8F" w14:textId="31770A70" w:rsidR="004D6B86" w:rsidRDefault="0029508B">
      <w:pPr>
        <w:pStyle w:val="Title"/>
        <w:rPr>
          <w:b/>
          <w:bCs/>
        </w:rPr>
      </w:pPr>
      <w:r>
        <w:rPr>
          <w:b/>
          <w:bCs/>
        </w:rPr>
        <w:t>The crossroads between s</w:t>
      </w:r>
      <w:r w:rsidR="0022411A" w:rsidRPr="00F779B4">
        <w:rPr>
          <w:b/>
          <w:bCs/>
        </w:rPr>
        <w:t>cie</w:t>
      </w:r>
      <w:r w:rsidR="00ED1F43" w:rsidRPr="00F779B4">
        <w:rPr>
          <w:b/>
          <w:bCs/>
        </w:rPr>
        <w:t xml:space="preserve">nce </w:t>
      </w:r>
      <w:r w:rsidR="000A3157" w:rsidRPr="00F779B4">
        <w:rPr>
          <w:b/>
          <w:bCs/>
        </w:rPr>
        <w:t xml:space="preserve">and </w:t>
      </w:r>
      <w:r w:rsidR="0022411A" w:rsidRPr="00F779B4">
        <w:rPr>
          <w:b/>
          <w:bCs/>
        </w:rPr>
        <w:t xml:space="preserve">faith: </w:t>
      </w:r>
      <w:r w:rsidR="00BB3359" w:rsidRPr="00F779B4">
        <w:rPr>
          <w:b/>
          <w:bCs/>
        </w:rPr>
        <w:t>An analysis of prayer and participation in preventative measures against</w:t>
      </w:r>
      <w:r w:rsidR="00BB3359">
        <w:t xml:space="preserve"> </w:t>
      </w:r>
      <w:r w:rsidR="00BB3359" w:rsidRPr="00F779B4">
        <w:rPr>
          <w:b/>
          <w:bCs/>
        </w:rPr>
        <w:t>COVID-19</w:t>
      </w:r>
    </w:p>
    <w:p w14:paraId="52DD796E" w14:textId="77777777" w:rsidR="00757AC4" w:rsidRPr="00757AC4" w:rsidRDefault="00757AC4" w:rsidP="00757AC4"/>
    <w:p w14:paraId="379020B8" w14:textId="18B12411" w:rsidR="004D6B86" w:rsidRDefault="00BB3359">
      <w:pPr>
        <w:pStyle w:val="Title2"/>
      </w:pPr>
      <w:r>
        <w:t>Alexis J. Turner</w:t>
      </w:r>
    </w:p>
    <w:p w14:paraId="2F43F48F" w14:textId="237E7AF3" w:rsidR="004D6B86" w:rsidRDefault="00AF3318">
      <w:pPr>
        <w:pStyle w:val="Title2"/>
      </w:pPr>
      <w:r>
        <w:t xml:space="preserve">McKenzie-Elliot School of Nursing, </w:t>
      </w:r>
      <w:r w:rsidR="00BB3359">
        <w:t>The University of North Carolina at Pembroke</w:t>
      </w:r>
    </w:p>
    <w:p w14:paraId="5D09D0E3" w14:textId="77777777" w:rsidR="004D6B86" w:rsidRPr="00757AC4" w:rsidRDefault="00345333">
      <w:pPr>
        <w:pStyle w:val="Title"/>
        <w:rPr>
          <w:b/>
          <w:bCs/>
        </w:rPr>
      </w:pPr>
      <w:r w:rsidRPr="00757AC4">
        <w:rPr>
          <w:b/>
          <w:bCs/>
        </w:rPr>
        <w:t>Author Note</w:t>
      </w:r>
    </w:p>
    <w:p w14:paraId="5C9F847B" w14:textId="1EB1ACB0" w:rsidR="004D6B86" w:rsidRPr="00A4757D" w:rsidRDefault="00EC2916" w:rsidP="00EC2916">
      <w:pPr>
        <w:ind w:firstLine="0"/>
      </w:pPr>
      <w:r w:rsidRPr="00EC2916">
        <w:t>Supported in part through the UNC-Pembroke/North Carolina Policy Collaboratory at UNC-Chapel Hill (Funded through a State appropriation by the NCGA per subdivision (23) of Section 3.3 of Session Law 2020-4(S.L. 202-</w:t>
      </w:r>
      <w:r w:rsidR="00FC10F3" w:rsidRPr="00EC2916">
        <w:t>4; H</w:t>
      </w:r>
      <w:r w:rsidRPr="00EC2916">
        <w:t>1043)/federal CARES Act.</w:t>
      </w:r>
    </w:p>
    <w:p w14:paraId="6EAA51BA" w14:textId="77777777" w:rsidR="004D6B86" w:rsidRPr="00977059" w:rsidRDefault="00345333">
      <w:pPr>
        <w:pStyle w:val="SectionTitle"/>
        <w:rPr>
          <w:b/>
          <w:bCs/>
        </w:rPr>
      </w:pPr>
      <w:r w:rsidRPr="00977059">
        <w:rPr>
          <w:b/>
          <w:bCs/>
        </w:rPr>
        <w:lastRenderedPageBreak/>
        <w:t>Abstract</w:t>
      </w:r>
    </w:p>
    <w:p w14:paraId="70F9801E" w14:textId="4DD93D3E" w:rsidR="00393066" w:rsidRPr="004D4F8C" w:rsidRDefault="00C96D4B">
      <w:pPr>
        <w:pStyle w:val="NoSpacing"/>
      </w:pPr>
      <w:r>
        <w:t>Previous research on will</w:t>
      </w:r>
      <w:r w:rsidR="006D79A9">
        <w:t xml:space="preserve">ingness to participate in preventative measures against illness </w:t>
      </w:r>
      <w:r w:rsidR="00F76212">
        <w:t xml:space="preserve">is a well-researched topic, however, spirituality and religiosity within these concepts is not well </w:t>
      </w:r>
      <w:r w:rsidR="008B795A">
        <w:t>documented</w:t>
      </w:r>
      <w:r w:rsidR="00F76212">
        <w:t xml:space="preserve">. </w:t>
      </w:r>
      <w:r w:rsidR="00641FEF">
        <w:t xml:space="preserve">Hesitancy or lack of participation in various preventative measures poses a threat to the </w:t>
      </w:r>
      <w:r w:rsidR="00876326">
        <w:t xml:space="preserve">control of </w:t>
      </w:r>
      <w:r w:rsidR="00864C85">
        <w:t xml:space="preserve">the </w:t>
      </w:r>
      <w:r w:rsidR="00876326">
        <w:t>SARS-CoV-2</w:t>
      </w:r>
      <w:r w:rsidR="00864C85">
        <w:t xml:space="preserve"> (COVID-19) pandemic</w:t>
      </w:r>
      <w:r w:rsidR="001C179D">
        <w:t xml:space="preserve">. To better understand the </w:t>
      </w:r>
      <w:r w:rsidR="001C179D" w:rsidRPr="001C179D">
        <w:t>response to the COVID-19 pandemic</w:t>
      </w:r>
      <w:r w:rsidR="00F037F0">
        <w:t xml:space="preserve">, </w:t>
      </w:r>
      <w:r w:rsidR="00CE2CFE">
        <w:t xml:space="preserve">data was collected on </w:t>
      </w:r>
      <w:r w:rsidR="00433045" w:rsidRPr="00433045">
        <w:t>what prayer means to individuals and how the use of prayer affects an individual’s</w:t>
      </w:r>
      <w:r w:rsidR="00433045">
        <w:t xml:space="preserve"> participation in </w:t>
      </w:r>
      <w:r w:rsidR="00D4688B">
        <w:t>preventative measures such as wearing a face ma</w:t>
      </w:r>
      <w:r w:rsidR="00CE2CFE">
        <w:t>sk and washing hands</w:t>
      </w:r>
      <w:r w:rsidR="00D207C0">
        <w:t xml:space="preserve"> through c</w:t>
      </w:r>
      <w:r w:rsidR="007C0EB7">
        <w:t>ontent analysi</w:t>
      </w:r>
      <w:r w:rsidR="00393066">
        <w:t xml:space="preserve">s </w:t>
      </w:r>
      <w:r w:rsidR="00541F3A">
        <w:t>of open-ended question</w:t>
      </w:r>
      <w:r w:rsidR="0063110A">
        <w:t xml:space="preserve"> interviews</w:t>
      </w:r>
      <w:r w:rsidR="00D207C0">
        <w:t xml:space="preserve">. </w:t>
      </w:r>
      <w:r w:rsidR="000A454F">
        <w:t xml:space="preserve">The use of prayer, spiritual or religious, may reflect </w:t>
      </w:r>
      <w:r w:rsidR="001C2D13">
        <w:t xml:space="preserve">views on learning styles (Cognitive and Affective). This </w:t>
      </w:r>
      <w:r w:rsidR="008B795A">
        <w:t>reveal</w:t>
      </w:r>
      <w:r w:rsidR="00443370">
        <w:t xml:space="preserve">ed a preference toward certain </w:t>
      </w:r>
      <w:r w:rsidR="00956924">
        <w:t xml:space="preserve">types of messaging </w:t>
      </w:r>
      <w:r w:rsidR="00443370">
        <w:t xml:space="preserve">resources </w:t>
      </w:r>
      <w:r w:rsidR="00956924">
        <w:t xml:space="preserve">and ultimately leads to discussion of better messaging driven by the population. </w:t>
      </w:r>
    </w:p>
    <w:p w14:paraId="15FE0F38" w14:textId="195DEAB1" w:rsidR="004D6B86" w:rsidRDefault="00345333">
      <w:r>
        <w:rPr>
          <w:rStyle w:val="Emphasis"/>
        </w:rPr>
        <w:t>Keywords</w:t>
      </w:r>
      <w:r w:rsidR="004D4F8C">
        <w:t xml:space="preserve">: </w:t>
      </w:r>
      <w:r w:rsidR="00F37695">
        <w:t xml:space="preserve">prayer, spirituality, religiosity, </w:t>
      </w:r>
      <w:r w:rsidR="00C0241F">
        <w:t xml:space="preserve">COVID-19, compliance, </w:t>
      </w:r>
      <w:r w:rsidR="00F37695">
        <w:t xml:space="preserve">mitigation efforts, hesitancy, </w:t>
      </w:r>
      <w:r w:rsidR="00EF4B09">
        <w:t>cognitive, affective</w:t>
      </w:r>
    </w:p>
    <w:p w14:paraId="4E9AA378" w14:textId="6A43B532" w:rsidR="006D7EE9" w:rsidRPr="00BB3359" w:rsidRDefault="0029508B" w:rsidP="006D7EE9">
      <w:pPr>
        <w:pStyle w:val="SectionTitle"/>
        <w:rPr>
          <w:b/>
          <w:bCs/>
        </w:rPr>
      </w:pPr>
      <w:r>
        <w:rPr>
          <w:b/>
          <w:bCs/>
        </w:rPr>
        <w:lastRenderedPageBreak/>
        <w:t>The crossroads between s</w:t>
      </w:r>
      <w:r w:rsidR="0022411A">
        <w:rPr>
          <w:b/>
          <w:bCs/>
        </w:rPr>
        <w:t>cien</w:t>
      </w:r>
      <w:r w:rsidR="000A3157">
        <w:rPr>
          <w:b/>
          <w:bCs/>
        </w:rPr>
        <w:t>ce and</w:t>
      </w:r>
      <w:r w:rsidR="0022411A">
        <w:rPr>
          <w:b/>
          <w:bCs/>
        </w:rPr>
        <w:t xml:space="preserve"> faith: </w:t>
      </w:r>
      <w:r w:rsidR="00BB3359" w:rsidRPr="00BB3359">
        <w:rPr>
          <w:b/>
          <w:bCs/>
        </w:rPr>
        <w:t>An analysis of prayer and participation in preventative measures against COVID-19</w:t>
      </w:r>
    </w:p>
    <w:p w14:paraId="1BCF146A" w14:textId="5C46695D" w:rsidR="004D6B86" w:rsidRDefault="00FC2D1A" w:rsidP="00054C6C">
      <w:r>
        <w:t xml:space="preserve">The most </w:t>
      </w:r>
      <w:r w:rsidR="00ED6D9B">
        <w:t>often cited metric</w:t>
      </w:r>
      <w:r>
        <w:t xml:space="preserve"> of COVID-19 </w:t>
      </w:r>
      <w:r w:rsidR="004903C6">
        <w:t>mitigation activities</w:t>
      </w:r>
      <w:r>
        <w:t xml:space="preserve"> worldwide </w:t>
      </w:r>
      <w:r w:rsidR="008576A6">
        <w:t>is</w:t>
      </w:r>
      <w:r>
        <w:t xml:space="preserve"> vaccination rates. </w:t>
      </w:r>
      <w:r w:rsidR="005A5F99">
        <w:t>While medical and religious ex</w:t>
      </w:r>
      <w:r w:rsidR="003D20EC">
        <w:t xml:space="preserve">emptions allow some </w:t>
      </w:r>
      <w:r w:rsidR="001410E9">
        <w:t>individuals</w:t>
      </w:r>
      <w:r w:rsidR="003D20EC">
        <w:t xml:space="preserve"> to decline vaccination </w:t>
      </w:r>
      <w:r w:rsidR="008661C4">
        <w:t xml:space="preserve">despite requirements by places of work or education, a vast percentage of the population </w:t>
      </w:r>
      <w:r w:rsidR="001410E9">
        <w:t xml:space="preserve">(78.54 people out of 100) </w:t>
      </w:r>
      <w:r w:rsidR="008661C4">
        <w:t xml:space="preserve">still had </w:t>
      </w:r>
      <w:r w:rsidR="006C319A">
        <w:t>at least one vaccine</w:t>
      </w:r>
      <w:r w:rsidR="00077E18">
        <w:t xml:space="preserve"> </w:t>
      </w:r>
      <w:r w:rsidR="00AC33A6">
        <w:t>(WHO, 2022)</w:t>
      </w:r>
      <w:r w:rsidR="00A67212">
        <w:t xml:space="preserve">. </w:t>
      </w:r>
      <w:r w:rsidR="00A429B6">
        <w:t xml:space="preserve">Since booster shots have become available, </w:t>
      </w:r>
      <w:r w:rsidR="001410E9">
        <w:t xml:space="preserve">on </w:t>
      </w:r>
      <w:r w:rsidR="00A429B6">
        <w:t xml:space="preserve">April 14, 2022, only 28.99 out of every 100 people in the United States have received one (WHO, 2022). </w:t>
      </w:r>
      <w:proofErr w:type="spellStart"/>
      <w:r w:rsidR="00F2776B">
        <w:t>Kh</w:t>
      </w:r>
      <w:r w:rsidR="00B71AF2">
        <w:t>airat</w:t>
      </w:r>
      <w:proofErr w:type="spellEnd"/>
      <w:r w:rsidR="00B71AF2">
        <w:t xml:space="preserve"> et al.</w:t>
      </w:r>
      <w:r w:rsidR="008576A6">
        <w:t xml:space="preserve"> (</w:t>
      </w:r>
      <w:r w:rsidR="00B71AF2">
        <w:t>2022</w:t>
      </w:r>
      <w:r w:rsidR="008576A6">
        <w:t>)</w:t>
      </w:r>
      <w:r w:rsidR="005A38DC">
        <w:t xml:space="preserve"> suggest that lower levels of education </w:t>
      </w:r>
      <w:r w:rsidR="005F07B9">
        <w:t>are a major contributor</w:t>
      </w:r>
      <w:r w:rsidR="00803B05">
        <w:t xml:space="preserve"> to vaccine hesitancy and the overall vaccination</w:t>
      </w:r>
      <w:r w:rsidR="005F07B9">
        <w:t xml:space="preserve"> metrics</w:t>
      </w:r>
      <w:r w:rsidR="00803B05">
        <w:t xml:space="preserve"> of a population in an area</w:t>
      </w:r>
      <w:r w:rsidR="008576A6">
        <w:t>; t</w:t>
      </w:r>
      <w:r w:rsidR="001B25AF">
        <w:t>hus, it</w:t>
      </w:r>
      <w:r w:rsidR="00D07838">
        <w:t xml:space="preserve"> becomes urgent to </w:t>
      </w:r>
      <w:r w:rsidR="00F92417">
        <w:t xml:space="preserve">find a way to </w:t>
      </w:r>
      <w:r w:rsidR="00D07838">
        <w:t>vaccinate these highly hesitant group</w:t>
      </w:r>
      <w:r w:rsidR="00321D57">
        <w:t xml:space="preserve">s. </w:t>
      </w:r>
      <w:r w:rsidR="002546A6">
        <w:t>Others (</w:t>
      </w:r>
      <w:proofErr w:type="spellStart"/>
      <w:r w:rsidR="002546A6">
        <w:t>Sacerdotes</w:t>
      </w:r>
      <w:proofErr w:type="spellEnd"/>
      <w:r w:rsidR="002546A6">
        <w:t xml:space="preserve"> &amp; </w:t>
      </w:r>
      <w:proofErr w:type="spellStart"/>
      <w:r w:rsidR="002546A6">
        <w:t>Glaeser</w:t>
      </w:r>
      <w:proofErr w:type="spellEnd"/>
      <w:r w:rsidR="002546A6">
        <w:t>, 2001) found</w:t>
      </w:r>
      <w:r w:rsidR="00161058">
        <w:t xml:space="preserve"> that </w:t>
      </w:r>
      <w:r w:rsidR="00491138">
        <w:t>higher education has a negative relationship with religion at the denomination</w:t>
      </w:r>
      <w:r w:rsidR="00A963FE">
        <w:t>al</w:t>
      </w:r>
      <w:r w:rsidR="00491138">
        <w:t xml:space="preserve"> level</w:t>
      </w:r>
      <w:r w:rsidR="002546A6">
        <w:t xml:space="preserve">. </w:t>
      </w:r>
      <w:r w:rsidR="00694BA0">
        <w:t>If lower education i</w:t>
      </w:r>
      <w:r w:rsidR="00EA4FFF">
        <w:t>s associated with</w:t>
      </w:r>
      <w:r w:rsidR="00694BA0">
        <w:t xml:space="preserve"> increased vaccination hesitancy and increased religiosity, </w:t>
      </w:r>
      <w:r w:rsidR="00360A76">
        <w:t>it becomes paramount to understand how religious practices, such as prayer, influence an individual’s response to the impact of COVID-19.</w:t>
      </w:r>
      <w:r w:rsidR="0065273C">
        <w:t xml:space="preserve"> The </w:t>
      </w:r>
      <w:r w:rsidR="00BE1570">
        <w:t>aim</w:t>
      </w:r>
      <w:r w:rsidR="0065273C">
        <w:t xml:space="preserve"> of this study is to </w:t>
      </w:r>
      <w:r w:rsidR="00BF22C5">
        <w:t>develop an understanding of what prayer means to individuals and how the use of prayer affects an individual’s response to the COVID-19 pandemic</w:t>
      </w:r>
      <w:r w:rsidR="008112E7">
        <w:t xml:space="preserve">. </w:t>
      </w:r>
      <w:r w:rsidR="00115B4C">
        <w:t>These findings</w:t>
      </w:r>
      <w:r w:rsidR="006C3146">
        <w:t xml:space="preserve"> will provide information useful in the development of </w:t>
      </w:r>
      <w:r w:rsidR="00BA49FA">
        <w:t>preventative measures tailored to members of the population who have differ</w:t>
      </w:r>
      <w:r w:rsidR="00666034">
        <w:t>ing</w:t>
      </w:r>
      <w:r w:rsidR="00BA49FA">
        <w:t xml:space="preserve"> values, making them more widely applicable and increasing participation in </w:t>
      </w:r>
      <w:r w:rsidR="00666034">
        <w:t xml:space="preserve">actions </w:t>
      </w:r>
      <w:r w:rsidR="00D51C03">
        <w:t xml:space="preserve">that aid in the </w:t>
      </w:r>
      <w:r w:rsidR="00BA49FA">
        <w:t>prevention of widespread disease.</w:t>
      </w:r>
    </w:p>
    <w:p w14:paraId="2ACD35C7" w14:textId="11BC1AAE" w:rsidR="00BB3359" w:rsidRDefault="00BB3359" w:rsidP="00BB3359">
      <w:pPr>
        <w:pStyle w:val="Heading2"/>
      </w:pPr>
      <w:r>
        <w:t>Theoretical Perspective</w:t>
      </w:r>
    </w:p>
    <w:p w14:paraId="5A76A086" w14:textId="44125550" w:rsidR="00ED3DA1" w:rsidRDefault="00ED3DA1" w:rsidP="0091071E">
      <w:r>
        <w:t>Vaccine hesitancy has been shown to be driven by both cognitive and affective influences (</w:t>
      </w:r>
      <w:proofErr w:type="spellStart"/>
      <w:r>
        <w:t>Rief</w:t>
      </w:r>
      <w:proofErr w:type="spellEnd"/>
      <w:r>
        <w:t xml:space="preserve">, 2021). Messaging related to vaccine compliance needs to respond to the learning needs of the intended audience. For instance, instead of focusing on future prediction, messages that </w:t>
      </w:r>
      <w:r>
        <w:lastRenderedPageBreak/>
        <w:t>balance information about risks and adverse effects and appeal to more altruistic motivations (i.e., protecting others) may have a greater impact.</w:t>
      </w:r>
    </w:p>
    <w:p w14:paraId="2091D8A1" w14:textId="61E81321" w:rsidR="00EF7604" w:rsidRDefault="00E131C3" w:rsidP="0091071E">
      <w:r>
        <w:t xml:space="preserve">The theoretical </w:t>
      </w:r>
      <w:r w:rsidR="001D045B">
        <w:t xml:space="preserve">perspective </w:t>
      </w:r>
      <w:r w:rsidR="00C019AB">
        <w:t>guiding this study is</w:t>
      </w:r>
      <w:r w:rsidR="00D360C7">
        <w:t xml:space="preserve"> Bloom’s Taxonom</w:t>
      </w:r>
      <w:r w:rsidR="00981D1B">
        <w:t xml:space="preserve">y </w:t>
      </w:r>
      <w:r w:rsidR="00D16CE1">
        <w:t>of Leaning. The taxonomy</w:t>
      </w:r>
      <w:r w:rsidR="008322FD">
        <w:t xml:space="preserve"> </w:t>
      </w:r>
      <w:r w:rsidR="00EA7884">
        <w:t>classifies behaviors</w:t>
      </w:r>
      <w:r w:rsidR="00D16CE1">
        <w:t xml:space="preserve"> and feelings</w:t>
      </w:r>
      <w:r w:rsidR="00EA7884">
        <w:t xml:space="preserve"> believed to be important to the process of learning. The </w:t>
      </w:r>
      <w:r w:rsidR="00E241BF">
        <w:t>t</w:t>
      </w:r>
      <w:r w:rsidR="00EA7884">
        <w:t>axonomy</w:t>
      </w:r>
      <w:r w:rsidR="0038134C">
        <w:t xml:space="preserve"> consists of </w:t>
      </w:r>
      <w:r w:rsidR="00DE214B">
        <w:t>the Cognitive</w:t>
      </w:r>
      <w:r w:rsidR="002F3B2B">
        <w:t xml:space="preserve"> Domain</w:t>
      </w:r>
      <w:r w:rsidR="00A57067">
        <w:t>, Affective Domain, and Psychomotor Domain</w:t>
      </w:r>
      <w:r w:rsidR="00E543CD">
        <w:t xml:space="preserve">. </w:t>
      </w:r>
      <w:r w:rsidR="0016462F">
        <w:t>The Cognitive Domain</w:t>
      </w:r>
      <w:r w:rsidR="00346A12">
        <w:t xml:space="preserve"> </w:t>
      </w:r>
      <w:r w:rsidR="00FE49B3">
        <w:t xml:space="preserve">encompasses </w:t>
      </w:r>
      <w:r w:rsidR="00DD7AC4">
        <w:t>active thinking and judgement formation based on factual and acquired knowledge</w:t>
      </w:r>
      <w:r w:rsidR="00E241BF">
        <w:t>. T</w:t>
      </w:r>
      <w:r w:rsidR="00CB15CB">
        <w:t xml:space="preserve">he Affective Domain </w:t>
      </w:r>
      <w:r w:rsidR="001825F0">
        <w:t xml:space="preserve">encompasses the ways in which </w:t>
      </w:r>
      <w:r w:rsidR="00CD29D9">
        <w:t xml:space="preserve">people deal with things </w:t>
      </w:r>
      <w:r w:rsidR="00454EB9">
        <w:t xml:space="preserve">on an emotional level (e.g., values, </w:t>
      </w:r>
      <w:r w:rsidR="00CE1F92">
        <w:t>motivations, attitudes, feelings)</w:t>
      </w:r>
      <w:r w:rsidR="000E43EF">
        <w:t>. T</w:t>
      </w:r>
      <w:r w:rsidR="00CE1F92">
        <w:t>he Psychomotor Domain</w:t>
      </w:r>
      <w:r w:rsidR="003A604A">
        <w:t xml:space="preserve"> includes use of skills, techniques, </w:t>
      </w:r>
      <w:r w:rsidR="00B711B3">
        <w:t>and execution of procedures</w:t>
      </w:r>
      <w:r w:rsidR="00C37605">
        <w:t xml:space="preserve">. </w:t>
      </w:r>
    </w:p>
    <w:p w14:paraId="5A937E37" w14:textId="4BCCA095" w:rsidR="00EF7604" w:rsidRDefault="00EF7604" w:rsidP="00EF7604">
      <w:pPr>
        <w:pStyle w:val="Heading2"/>
      </w:pPr>
      <w:r>
        <w:t>Limitations</w:t>
      </w:r>
    </w:p>
    <w:p w14:paraId="0E5D37A0" w14:textId="75144948" w:rsidR="00EF7604" w:rsidRDefault="000E43EF" w:rsidP="000B766F">
      <w:r>
        <w:t>Robeson County encompasses a majority-minority population. Although</w:t>
      </w:r>
      <w:r w:rsidR="00D951CC">
        <w:t>, predominantly American Indian, other racial/ethnic/cultural groups include African-Americans</w:t>
      </w:r>
      <w:r w:rsidR="00CA21AB">
        <w:t xml:space="preserve">, Latinx, and Caucasians. In addition, there is a wide range in educational achievement, religious affiliation, and financial status. These diverse influences may affect </w:t>
      </w:r>
      <w:r w:rsidR="001C5128">
        <w:t>transferability</w:t>
      </w:r>
      <w:r w:rsidR="00CA21AB">
        <w:t xml:space="preserve"> of findings. </w:t>
      </w:r>
    </w:p>
    <w:p w14:paraId="08FBC420" w14:textId="6B719E62" w:rsidR="00EF7604" w:rsidRDefault="00EF7604" w:rsidP="00EF7604">
      <w:pPr>
        <w:pStyle w:val="Heading1"/>
      </w:pPr>
      <w:r>
        <w:t>Literature Review</w:t>
      </w:r>
    </w:p>
    <w:p w14:paraId="7E25BF0D" w14:textId="2334262D" w:rsidR="009C55DC" w:rsidRDefault="00C661FA" w:rsidP="00C458D1">
      <w:r>
        <w:t xml:space="preserve">The impact of </w:t>
      </w:r>
      <w:r w:rsidR="00D80BEF">
        <w:t xml:space="preserve">prayer in healthcare is a topic with limited research due to the nature of the topic. </w:t>
      </w:r>
      <w:r w:rsidR="00E7352A">
        <w:t xml:space="preserve">Studies show that in the United States, </w:t>
      </w:r>
      <w:r w:rsidR="00C13D86">
        <w:t xml:space="preserve">many people turn to religious practices when facing </w:t>
      </w:r>
      <w:r w:rsidR="000C63D4">
        <w:t>tough times</w:t>
      </w:r>
      <w:r w:rsidR="00C13D86">
        <w:t>, such as illness</w:t>
      </w:r>
      <w:r w:rsidR="00CB005A">
        <w:t xml:space="preserve"> (Koenig et al. 2001</w:t>
      </w:r>
      <w:r w:rsidR="00BF4A01">
        <w:t>;</w:t>
      </w:r>
      <w:r w:rsidR="00EF12A1">
        <w:t xml:space="preserve"> Cummings &amp; Pargament, </w:t>
      </w:r>
      <w:r w:rsidR="00825C92">
        <w:t xml:space="preserve">2010). </w:t>
      </w:r>
      <w:r w:rsidR="00274885">
        <w:t>It is important to note that studies have also found that when praying</w:t>
      </w:r>
      <w:r w:rsidR="00E201D5">
        <w:t xml:space="preserve"> </w:t>
      </w:r>
      <w:r w:rsidR="00B62C90">
        <w:t>“the quality and conditions of the context matter because prayer can have both negative and positive effects</w:t>
      </w:r>
      <w:r w:rsidR="00274885">
        <w:t>” (</w:t>
      </w:r>
      <w:proofErr w:type="spellStart"/>
      <w:r w:rsidR="00274885">
        <w:t>Esperandio</w:t>
      </w:r>
      <w:proofErr w:type="spellEnd"/>
      <w:r w:rsidR="00274885">
        <w:t xml:space="preserve"> &amp; Ladd, 2015</w:t>
      </w:r>
      <w:r w:rsidR="00BF4A01">
        <w:t xml:space="preserve">, p. </w:t>
      </w:r>
      <w:r w:rsidR="0013247E">
        <w:t>6</w:t>
      </w:r>
      <w:r w:rsidR="006D08F0">
        <w:t>71</w:t>
      </w:r>
      <w:r w:rsidR="00274885">
        <w:t xml:space="preserve">). </w:t>
      </w:r>
    </w:p>
    <w:p w14:paraId="21CE7275" w14:textId="38607CDD" w:rsidR="0036731F" w:rsidRDefault="0036731F" w:rsidP="0036731F">
      <w:pPr>
        <w:pStyle w:val="Heading2"/>
      </w:pPr>
      <w:r>
        <w:lastRenderedPageBreak/>
        <w:t>Complementary and Alternative Medicine</w:t>
      </w:r>
    </w:p>
    <w:p w14:paraId="079FDC93" w14:textId="6FD3F130" w:rsidR="004D651E" w:rsidRDefault="009C55DC" w:rsidP="00C458D1">
      <w:r>
        <w:t>P</w:t>
      </w:r>
      <w:r w:rsidR="006A3296">
        <w:t xml:space="preserve">rayer </w:t>
      </w:r>
      <w:r w:rsidR="0084065F">
        <w:t xml:space="preserve">tends to be grouped </w:t>
      </w:r>
      <w:r w:rsidR="006A3296">
        <w:t xml:space="preserve">together with </w:t>
      </w:r>
      <w:r w:rsidR="006317A9">
        <w:t xml:space="preserve">other </w:t>
      </w:r>
      <w:r w:rsidR="006A3296">
        <w:t>form</w:t>
      </w:r>
      <w:r w:rsidR="006317A9">
        <w:t>s</w:t>
      </w:r>
      <w:r w:rsidR="006A3296">
        <w:t xml:space="preserve"> of </w:t>
      </w:r>
      <w:r w:rsidR="007F2742">
        <w:t xml:space="preserve">treatment termed complementary and alternative medicine </w:t>
      </w:r>
      <w:r w:rsidR="006317A9">
        <w:t>(CAM)</w:t>
      </w:r>
      <w:r w:rsidR="006D08F0">
        <w:t xml:space="preserve"> in the literature</w:t>
      </w:r>
      <w:r w:rsidR="006317A9">
        <w:t xml:space="preserve">. </w:t>
      </w:r>
      <w:r w:rsidR="0033748D">
        <w:t xml:space="preserve">Ayers </w:t>
      </w:r>
      <w:r w:rsidR="006D08F0">
        <w:t>and</w:t>
      </w:r>
      <w:r w:rsidR="0033748D">
        <w:t xml:space="preserve"> Kronenfeld (2010) </w:t>
      </w:r>
      <w:r w:rsidR="00141DE5">
        <w:t>analyze</w:t>
      </w:r>
      <w:r w:rsidR="006D08F0">
        <w:t>d</w:t>
      </w:r>
      <w:r w:rsidR="00141DE5">
        <w:t xml:space="preserve"> various CAM</w:t>
      </w:r>
      <w:r w:rsidR="006D08F0">
        <w:t xml:space="preserve"> modalities</w:t>
      </w:r>
      <w:r w:rsidR="00141DE5">
        <w:t xml:space="preserve"> and their patterns of use </w:t>
      </w:r>
      <w:r w:rsidR="00042AAE">
        <w:t xml:space="preserve">to </w:t>
      </w:r>
      <w:r w:rsidR="00FD22F7">
        <w:t>deduce</w:t>
      </w:r>
      <w:r w:rsidR="00042AAE">
        <w:t xml:space="preserve"> </w:t>
      </w:r>
      <w:r w:rsidR="00FD22F7">
        <w:t xml:space="preserve">through exploratory and confirmatory analysis </w:t>
      </w:r>
      <w:r w:rsidR="00042AAE">
        <w:t xml:space="preserve">that </w:t>
      </w:r>
      <w:r w:rsidR="00E73612">
        <w:t>“</w:t>
      </w:r>
      <w:r w:rsidR="004651D6">
        <w:t>prayer should be created as a separate domain and was thus apart from other mind-body treatments</w:t>
      </w:r>
      <w:r w:rsidR="00FD22F7">
        <w:t>.”</w:t>
      </w:r>
      <w:r w:rsidR="003E0770">
        <w:t xml:space="preserve"> (p. </w:t>
      </w:r>
      <w:r w:rsidR="0017197D">
        <w:t>247)</w:t>
      </w:r>
      <w:r w:rsidR="00FD22F7">
        <w:t xml:space="preserve"> </w:t>
      </w:r>
      <w:r w:rsidR="0017197D">
        <w:t>P</w:t>
      </w:r>
      <w:r w:rsidR="00F92038">
        <w:t xml:space="preserve">rayer has been </w:t>
      </w:r>
      <w:r w:rsidR="00411111">
        <w:t>used</w:t>
      </w:r>
      <w:r w:rsidR="00F92038">
        <w:t xml:space="preserve"> in </w:t>
      </w:r>
      <w:r w:rsidR="00286BBE">
        <w:t>many different ways that are not mutually exclusive, including but not limited to</w:t>
      </w:r>
      <w:r w:rsidR="0017197D">
        <w:t>:</w:t>
      </w:r>
      <w:r w:rsidR="00286BBE">
        <w:t xml:space="preserve"> conversational</w:t>
      </w:r>
      <w:r w:rsidR="008B2D78">
        <w:t xml:space="preserve"> (informal conversation with God)</w:t>
      </w:r>
      <w:r w:rsidR="00286BBE">
        <w:t>, meditative</w:t>
      </w:r>
      <w:r w:rsidR="008B2D78">
        <w:t xml:space="preserve"> (contemplating spiritual themes and relationships)</w:t>
      </w:r>
      <w:r w:rsidR="00286BBE">
        <w:t>, ritual</w:t>
      </w:r>
      <w:r w:rsidR="008B2D78">
        <w:t xml:space="preserve"> (</w:t>
      </w:r>
      <w:r w:rsidR="004F3EC2">
        <w:t>reciting or reading prayers)</w:t>
      </w:r>
      <w:r w:rsidR="00286BBE">
        <w:t xml:space="preserve">, </w:t>
      </w:r>
      <w:r w:rsidR="00154493">
        <w:t>and intercessory</w:t>
      </w:r>
      <w:r w:rsidR="004F3EC2">
        <w:t xml:space="preserve"> (petitions on behalf of others for health or wellbeing)</w:t>
      </w:r>
      <w:r w:rsidR="00154493">
        <w:t xml:space="preserve"> (Jantos &amp; Kiat, 2007).</w:t>
      </w:r>
      <w:r w:rsidR="00E61066">
        <w:t xml:space="preserve"> </w:t>
      </w:r>
      <w:r w:rsidR="00912681">
        <w:t>This typology</w:t>
      </w:r>
      <w:r w:rsidR="002E291D">
        <w:t xml:space="preserve"> show</w:t>
      </w:r>
      <w:r w:rsidR="00912681">
        <w:t>s</w:t>
      </w:r>
      <w:r w:rsidR="00E61066">
        <w:t xml:space="preserve"> that prayer is complex, </w:t>
      </w:r>
      <w:r w:rsidR="00912681">
        <w:t xml:space="preserve">both </w:t>
      </w:r>
      <w:r w:rsidR="00E61066">
        <w:t>within</w:t>
      </w:r>
      <w:r w:rsidR="00897680">
        <w:t xml:space="preserve"> </w:t>
      </w:r>
      <w:r w:rsidR="00CF5D2C">
        <w:t>and beyond the realm</w:t>
      </w:r>
      <w:r w:rsidR="00E61066">
        <w:t xml:space="preserve"> </w:t>
      </w:r>
      <w:r w:rsidR="006335AA">
        <w:t xml:space="preserve">of </w:t>
      </w:r>
      <w:r w:rsidR="00E61066">
        <w:t xml:space="preserve">religion, </w:t>
      </w:r>
      <w:r w:rsidR="00CF5D2C">
        <w:t>supporting</w:t>
      </w:r>
      <w:r w:rsidR="00E61066">
        <w:t xml:space="preserve"> the need for its own domain </w:t>
      </w:r>
      <w:r w:rsidR="002E291D">
        <w:t>in complementary and alternative medicine.</w:t>
      </w:r>
      <w:r w:rsidR="00897680">
        <w:t xml:space="preserve"> </w:t>
      </w:r>
      <w:r w:rsidR="00CF2175">
        <w:t>Prayer is</w:t>
      </w:r>
      <w:r w:rsidR="00CF5D2C">
        <w:t xml:space="preserve"> often thought of as</w:t>
      </w:r>
      <w:r w:rsidR="00CF2175">
        <w:t xml:space="preserve"> a </w:t>
      </w:r>
      <w:r w:rsidR="00D730D1">
        <w:t>supernatural phenomenon which makes quantifying it a complicated matter</w:t>
      </w:r>
      <w:r w:rsidR="00CF5D2C">
        <w:t>.</w:t>
      </w:r>
      <w:r w:rsidR="000E6367">
        <w:t xml:space="preserve"> </w:t>
      </w:r>
      <w:r w:rsidR="00CF2535">
        <w:t>I</w:t>
      </w:r>
      <w:r w:rsidR="000E6367">
        <w:t>t may be impossible</w:t>
      </w:r>
      <w:r w:rsidR="00CF2535">
        <w:t>, i</w:t>
      </w:r>
      <w:r w:rsidR="006335AA">
        <w:t>n</w:t>
      </w:r>
      <w:r w:rsidR="00CF2535">
        <w:t xml:space="preserve"> fact,</w:t>
      </w:r>
      <w:r w:rsidR="000E6367">
        <w:t xml:space="preserve"> to </w:t>
      </w:r>
      <w:r w:rsidR="0031794D">
        <w:t>assess</w:t>
      </w:r>
      <w:r w:rsidR="000E6367">
        <w:t xml:space="preserve"> for a placebo effect in double-blind studies (</w:t>
      </w:r>
      <w:r w:rsidR="0086311F">
        <w:t xml:space="preserve">Jantos &amp; Kiat, 2007). </w:t>
      </w:r>
    </w:p>
    <w:p w14:paraId="4D195CE1" w14:textId="5DFBB8A1" w:rsidR="0036731F" w:rsidRDefault="0036731F" w:rsidP="0036731F">
      <w:pPr>
        <w:pStyle w:val="Heading2"/>
      </w:pPr>
      <w:r>
        <w:t>Quantifying Prayer</w:t>
      </w:r>
    </w:p>
    <w:p w14:paraId="4709B85F" w14:textId="780B7652" w:rsidR="004D651E" w:rsidRDefault="0086311F" w:rsidP="00C458D1">
      <w:r>
        <w:t>In seeking to quantify the effects of prayer</w:t>
      </w:r>
      <w:r w:rsidR="00767401">
        <w:t xml:space="preserve"> on the brain</w:t>
      </w:r>
      <w:r>
        <w:t xml:space="preserve">, </w:t>
      </w:r>
      <w:r w:rsidR="0031794D">
        <w:t>Harris et al. (</w:t>
      </w:r>
      <w:r w:rsidR="0018260C">
        <w:t xml:space="preserve">2009) observed neural correlates of religious and nonreligious individuals when presented with statements that were true, false, and religious while </w:t>
      </w:r>
      <w:r w:rsidR="00804732">
        <w:t xml:space="preserve">using functional magnetic resonance imaging (fMRI). </w:t>
      </w:r>
      <w:r w:rsidR="006B2D09">
        <w:t xml:space="preserve">While religious and nonreligious thinking engaged different regions of the frontal, </w:t>
      </w:r>
      <w:r w:rsidR="00E62BA1">
        <w:t>par</w:t>
      </w:r>
      <w:r w:rsidR="00B736C8">
        <w:t xml:space="preserve">ietal, and medial temporal lobes, the difference between belief in the statements and disbelief in the statements </w:t>
      </w:r>
      <w:r w:rsidR="00B855F7">
        <w:t>appeared to be dependent on the content</w:t>
      </w:r>
      <w:r w:rsidR="005B4B1B">
        <w:t xml:space="preserve"> (i.e., an actual false statement vs. a religious statement)</w:t>
      </w:r>
      <w:r w:rsidR="00CF2535">
        <w:t>.</w:t>
      </w:r>
    </w:p>
    <w:p w14:paraId="5E6D4EB2" w14:textId="11125F55" w:rsidR="0036731F" w:rsidRDefault="0036731F" w:rsidP="0036731F">
      <w:pPr>
        <w:pStyle w:val="Heading2"/>
      </w:pPr>
      <w:r>
        <w:lastRenderedPageBreak/>
        <w:t>Perceived Efficacy</w:t>
      </w:r>
    </w:p>
    <w:p w14:paraId="2DCA9524" w14:textId="16D3B7CD" w:rsidR="00EF7604" w:rsidRDefault="00D040F4" w:rsidP="00C458D1">
      <w:r>
        <w:t xml:space="preserve">As for the perceived efficacy of prayer as it compares to conventional medicine, </w:t>
      </w:r>
      <w:r w:rsidR="00661697">
        <w:t xml:space="preserve">prayer </w:t>
      </w:r>
      <w:r w:rsidR="0074616A">
        <w:t>is</w:t>
      </w:r>
      <w:r w:rsidR="00661697">
        <w:t xml:space="preserve"> the most </w:t>
      </w:r>
      <w:r w:rsidR="00F01ACB">
        <w:t>prevalent religious practice in the United States; 85% of Americans pray once a week or more</w:t>
      </w:r>
      <w:r w:rsidR="0074616A">
        <w:t xml:space="preserve"> and 55% of Americans engage in daily prayer (Ly et al. 2018)</w:t>
      </w:r>
      <w:r w:rsidR="00E74804">
        <w:t xml:space="preserve">. </w:t>
      </w:r>
      <w:r w:rsidR="000B10FE">
        <w:t>When comparing the two, “Although participants viewed prayer as more effective if conducted in social contexts and for others, in general prayer was viewed as less effective than conventional medicine overall.”</w:t>
      </w:r>
      <w:r w:rsidR="00B75F2C">
        <w:t xml:space="preserve"> (</w:t>
      </w:r>
      <w:r w:rsidR="00171FAE">
        <w:t xml:space="preserve">p. </w:t>
      </w:r>
      <w:r w:rsidR="00D93CF5">
        <w:t>13</w:t>
      </w:r>
      <w:r w:rsidR="00B75F2C">
        <w:t>). However, prayer was perceived as being most effective at addressing psychological conditions, rather than acute or chronic</w:t>
      </w:r>
      <w:r w:rsidR="00F76987">
        <w:t xml:space="preserve">. </w:t>
      </w:r>
    </w:p>
    <w:p w14:paraId="15A6D7C8" w14:textId="748640E9" w:rsidR="0036731F" w:rsidRDefault="0036731F" w:rsidP="0036731F">
      <w:pPr>
        <w:pStyle w:val="Heading2"/>
      </w:pPr>
      <w:r>
        <w:t>Prayer in Healthcare</w:t>
      </w:r>
    </w:p>
    <w:p w14:paraId="73B3F261" w14:textId="696B2C55" w:rsidR="00124ADD" w:rsidRDefault="00124ADD" w:rsidP="00C458D1">
      <w:r>
        <w:t xml:space="preserve">Specifically in healthcare, nurses report feeling a lack of </w:t>
      </w:r>
      <w:r w:rsidR="00B53427">
        <w:t xml:space="preserve">confidence in their ability to provide competent care for patients in spiritual distress. </w:t>
      </w:r>
      <w:r w:rsidR="003F00EA">
        <w:t xml:space="preserve">Pesut (2016) suggests that the </w:t>
      </w:r>
      <w:r w:rsidR="003F00EA">
        <w:rPr>
          <w:i/>
          <w:iCs/>
        </w:rPr>
        <w:t>Theory-Theory Gap</w:t>
      </w:r>
      <w:r w:rsidR="003F00EA">
        <w:t xml:space="preserve"> may be to blame</w:t>
      </w:r>
      <w:r w:rsidR="00031312">
        <w:t xml:space="preserve">. This occurs when two concepts that are closely related </w:t>
      </w:r>
      <w:r w:rsidR="00AB01AF">
        <w:t>to each other exist without clear delineation between the two.</w:t>
      </w:r>
      <w:r w:rsidR="005F6022">
        <w:t xml:space="preserve"> She suggests that this is occurring with spirituality and religion </w:t>
      </w:r>
      <w:r w:rsidR="002527D2">
        <w:t>due to medical terminology</w:t>
      </w:r>
      <w:r w:rsidR="00CC22FE">
        <w:t xml:space="preserve"> separating the two when they tend to be inter</w:t>
      </w:r>
      <w:r w:rsidR="00445967">
        <w:t>twined</w:t>
      </w:r>
      <w:r w:rsidR="00CC22FE">
        <w:t xml:space="preserve"> (Pesut</w:t>
      </w:r>
      <w:r w:rsidR="00693F0F">
        <w:t xml:space="preserve">, 2016). </w:t>
      </w:r>
      <w:r w:rsidR="00DA210F">
        <w:t xml:space="preserve">Nurses are lacking </w:t>
      </w:r>
      <w:r w:rsidR="00BB0DB2">
        <w:t>vital information</w:t>
      </w:r>
      <w:r w:rsidR="00DA210F">
        <w:t xml:space="preserve"> about </w:t>
      </w:r>
      <w:r w:rsidR="00BB0DB2">
        <w:t>spirituality</w:t>
      </w:r>
      <w:r w:rsidR="00DA210F">
        <w:t xml:space="preserve"> and how to approach it within their scope of practice</w:t>
      </w:r>
      <w:r w:rsidR="00BB0DB2">
        <w:t>, so they do not approach it at all, leaving pati</w:t>
      </w:r>
      <w:r w:rsidR="0007386A">
        <w:t>ents</w:t>
      </w:r>
      <w:r w:rsidR="00BB0DB2">
        <w:t xml:space="preserve"> with care that lacks full competence. </w:t>
      </w:r>
      <w:r w:rsidR="00110E4D">
        <w:t xml:space="preserve">“Integrating our patients’ spiritual and religious beliefs into their health and mental health </w:t>
      </w:r>
      <w:r w:rsidR="00CE527F">
        <w:t>. . . treatment is empowering for them and creates a dynamic holistic perspective to CAT [</w:t>
      </w:r>
      <w:r w:rsidR="00432F78">
        <w:t>Complimentary Alternative Treatment]</w:t>
      </w:r>
      <w:r w:rsidR="00AE30D3">
        <w:t>.” (Green, 2018</w:t>
      </w:r>
      <w:r w:rsidR="007A1D8E">
        <w:t xml:space="preserve">, p. </w:t>
      </w:r>
      <w:r w:rsidR="00D068FB">
        <w:t>1182</w:t>
      </w:r>
      <w:r w:rsidR="00AE30D3">
        <w:t>)</w:t>
      </w:r>
      <w:r w:rsidR="000C0ADA">
        <w:t xml:space="preserve">. </w:t>
      </w:r>
      <w:r w:rsidR="0007386A">
        <w:t xml:space="preserve">Research consistently finds that </w:t>
      </w:r>
      <w:r w:rsidR="00DF4E73">
        <w:t xml:space="preserve">nurses had insufficient knowledge and skills related to spiritual care </w:t>
      </w:r>
      <w:r w:rsidR="00D24FC6">
        <w:t xml:space="preserve">because of poor role preparation (Wu et al., 2016). </w:t>
      </w:r>
    </w:p>
    <w:p w14:paraId="6F3983C5" w14:textId="311DC0F6" w:rsidR="0036731F" w:rsidRDefault="009C7D75" w:rsidP="0036731F">
      <w:pPr>
        <w:pStyle w:val="Heading2"/>
      </w:pPr>
      <w:r>
        <w:lastRenderedPageBreak/>
        <w:t xml:space="preserve">Vaccine Hesitancy and Religiosity </w:t>
      </w:r>
      <w:r w:rsidR="00597D2D">
        <w:t>in a Rural Community</w:t>
      </w:r>
    </w:p>
    <w:p w14:paraId="4BA6DAA6" w14:textId="4D1FC4C9" w:rsidR="00DC67D7" w:rsidRPr="00DC67D7" w:rsidRDefault="000422B4" w:rsidP="005252A5">
      <w:r>
        <w:t xml:space="preserve">A </w:t>
      </w:r>
      <w:r w:rsidR="00AF466A">
        <w:t xml:space="preserve">qualitative </w:t>
      </w:r>
      <w:r>
        <w:t xml:space="preserve">study conducted in a rural </w:t>
      </w:r>
      <w:r w:rsidR="00CE2F42">
        <w:t>area with str</w:t>
      </w:r>
      <w:r w:rsidR="002407A8">
        <w:t>o</w:t>
      </w:r>
      <w:r w:rsidR="00CE2F42">
        <w:t xml:space="preserve">ng religious values </w:t>
      </w:r>
      <w:r w:rsidR="00AF466A">
        <w:t xml:space="preserve">involving a survey on vaccine hesitancy and follow-up interviews </w:t>
      </w:r>
      <w:r w:rsidR="00242DA2">
        <w:t xml:space="preserve">found that </w:t>
      </w:r>
      <w:r w:rsidR="002E242B">
        <w:t xml:space="preserve">a lack of knowledge </w:t>
      </w:r>
      <w:r w:rsidR="00B36D38">
        <w:t xml:space="preserve">and understanding about the effectiveness of vaccination, religious leaders emphasizing the use of prayer over medicine, </w:t>
      </w:r>
      <w:r w:rsidR="00622DB1">
        <w:t xml:space="preserve">a lack of privacy, and low levels of education were the main factors contributing to widespread vaccine hesitancy in this community. </w:t>
      </w:r>
      <w:proofErr w:type="spellStart"/>
      <w:r w:rsidR="00820686">
        <w:t>Machekanyanga</w:t>
      </w:r>
      <w:proofErr w:type="spellEnd"/>
      <w:r w:rsidR="00820686">
        <w:t xml:space="preserve"> et al. (</w:t>
      </w:r>
      <w:r w:rsidR="00274B90">
        <w:t>2017) stress the importance of education used in conjunction with intervention from the government</w:t>
      </w:r>
      <w:r w:rsidR="00020D01">
        <w:t>.</w:t>
      </w:r>
      <w:r w:rsidR="00834B4A">
        <w:t xml:space="preserve"> </w:t>
      </w:r>
      <w:r w:rsidR="00091D74">
        <w:t>It is also important that h</w:t>
      </w:r>
      <w:r w:rsidR="00834B4A">
        <w:t>ealthcare providers build important relationships with members of religious practices</w:t>
      </w:r>
      <w:r w:rsidR="00091D74">
        <w:t xml:space="preserve"> to enhance trust within the community</w:t>
      </w:r>
      <w:r w:rsidR="00834B4A">
        <w:t xml:space="preserve">. </w:t>
      </w:r>
    </w:p>
    <w:p w14:paraId="34B62872" w14:textId="47E466F5" w:rsidR="00EF7604" w:rsidRDefault="00EF7604" w:rsidP="00EF7604">
      <w:pPr>
        <w:pStyle w:val="Heading1"/>
      </w:pPr>
      <w:r>
        <w:t>Research Methodology</w:t>
      </w:r>
    </w:p>
    <w:p w14:paraId="3E89953A" w14:textId="2775AEFB" w:rsidR="007A5C4C" w:rsidRDefault="00D068FB" w:rsidP="00092329">
      <w:r>
        <w:t xml:space="preserve">This study involved secondary analysis of data from a CARES Act funded study designed to explore the prevalence of COVID-19 in a rural southeastern North Carolina population. The study was reviewed and approved by the University of North Carolina at Pembroke’s Institutional Review Board. All individuals who participated in the study met the inclusion criteria </w:t>
      </w:r>
      <w:r w:rsidR="00092329">
        <w:t xml:space="preserve">[minimum of 18 years old, non-symptomatic, no known exposure to COVID-19]. All participants submitted to a serology test for COVID-19 antibodies. A randomly chosen sub-set of participants also completed </w:t>
      </w:r>
      <w:r w:rsidR="009C1BCE">
        <w:t>a brief survey that was designed to measure attitudes and beliefs that could impact their compliance with mitigation efforts and their attitudes toward vaccination following the first blood test</w:t>
      </w:r>
      <w:r w:rsidR="002118FF">
        <w:t xml:space="preserve"> (See Appendix </w:t>
      </w:r>
      <w:r w:rsidR="006A3C38">
        <w:t>A</w:t>
      </w:r>
      <w:r w:rsidR="002118FF">
        <w:t>)</w:t>
      </w:r>
      <w:r w:rsidR="009C1BCE">
        <w:t>.</w:t>
      </w:r>
      <w:r w:rsidR="001D108F">
        <w:t xml:space="preserve"> </w:t>
      </w:r>
      <w:r w:rsidR="002118FF">
        <w:t xml:space="preserve"> Individuals were excluded if they were under the age of 18 or displayed active symptoms of COVID-19 or </w:t>
      </w:r>
      <w:r w:rsidR="007145F5">
        <w:t>had knowledge of a previous exposure or infection.</w:t>
      </w:r>
    </w:p>
    <w:p w14:paraId="4C80668E" w14:textId="6423687D" w:rsidR="007A5C4C" w:rsidRPr="007A5C4C" w:rsidRDefault="007A5C4C" w:rsidP="007A5C4C">
      <w:pPr>
        <w:pStyle w:val="Heading2"/>
      </w:pPr>
      <w:r>
        <w:lastRenderedPageBreak/>
        <w:t>Inclusion/Exclusion</w:t>
      </w:r>
      <w:r w:rsidR="007145F5">
        <w:t xml:space="preserve"> </w:t>
      </w:r>
      <w:r w:rsidR="004E092B">
        <w:t>Criteria</w:t>
      </w:r>
    </w:p>
    <w:p w14:paraId="1424605E" w14:textId="6E890E28" w:rsidR="007A5C4C" w:rsidRDefault="007145F5" w:rsidP="007A5C4C">
      <w:r>
        <w:t xml:space="preserve">Subjects for the current study were drawn from the group in the original study who were tested </w:t>
      </w:r>
      <w:r w:rsidR="004E092B">
        <w:t>and completed the surveys. Only those participants from the original study who met these criteria were included in the study described in this proposal.</w:t>
      </w:r>
    </w:p>
    <w:p w14:paraId="2E35097D" w14:textId="199609B2" w:rsidR="00F64578" w:rsidRDefault="00F64578" w:rsidP="00F64578">
      <w:pPr>
        <w:pStyle w:val="Heading2"/>
      </w:pPr>
      <w:r>
        <w:t>Recruitment</w:t>
      </w:r>
    </w:p>
    <w:p w14:paraId="5B71AA85" w14:textId="6E85FDA2" w:rsidR="002F70D8" w:rsidRDefault="002F70D8" w:rsidP="002F70D8">
      <w:r>
        <w:t>All individuals who participated in serology testing and the survey received a letter inquiring about their interest in participating in interviews or focus groups to do a deeper dive into their rationales for responding to the survey in the way they did. The letter included a QR code for interested participants to respon</w:t>
      </w:r>
      <w:r w:rsidR="007637C8">
        <w:t>d</w:t>
      </w:r>
      <w:r>
        <w:t xml:space="preserve"> regarding their interest in participati</w:t>
      </w:r>
      <w:r w:rsidR="00F023CA">
        <w:t>ng. Individuals who expressed an interest were entered into a database. For the current study, participant responses on the ‘prayer’ mitigation activity were analyzed to identify opposing cases. Two individuals were contacted by phone and agreed to participate in virtual interviews to explore their views on the concept of prayer.</w:t>
      </w:r>
    </w:p>
    <w:p w14:paraId="2857214B" w14:textId="7AC16122" w:rsidR="00F023CA" w:rsidRDefault="00F023CA" w:rsidP="00F023CA">
      <w:pPr>
        <w:pStyle w:val="Heading2"/>
      </w:pPr>
      <w:r>
        <w:t xml:space="preserve">Participant Characteristics </w:t>
      </w:r>
    </w:p>
    <w:p w14:paraId="268BB0C4" w14:textId="74DEF1BB" w:rsidR="00F023CA" w:rsidRDefault="001D1720" w:rsidP="00F023CA">
      <w:r>
        <w:t xml:space="preserve">Ms. P is a 36-year-old Caucasian female employed at the University and Mr. M is a 43-year-old Caucasian male of government-based employment. </w:t>
      </w:r>
    </w:p>
    <w:p w14:paraId="21F407A9" w14:textId="296AC966" w:rsidR="008D2D0D" w:rsidRDefault="008D2D0D" w:rsidP="008D2D0D">
      <w:pPr>
        <w:pStyle w:val="Heading2"/>
      </w:pPr>
      <w:r>
        <w:t>Incentive</w:t>
      </w:r>
    </w:p>
    <w:p w14:paraId="6EEAA4D3" w14:textId="62A4FEA1" w:rsidR="008D2D0D" w:rsidRDefault="00F96C6B" w:rsidP="008D2D0D">
      <w:r>
        <w:t xml:space="preserve">Participants received a </w:t>
      </w:r>
      <w:r w:rsidR="006F0AFE">
        <w:t xml:space="preserve">$25.00 Visa gift card for their participation in the virtual interviews. </w:t>
      </w:r>
    </w:p>
    <w:p w14:paraId="0534C135" w14:textId="3F831300" w:rsidR="008D2D0D" w:rsidRDefault="008D2D0D" w:rsidP="008D2D0D">
      <w:pPr>
        <w:pStyle w:val="Heading2"/>
      </w:pPr>
      <w:r>
        <w:t>Consent Process</w:t>
      </w:r>
    </w:p>
    <w:p w14:paraId="23B48FAC" w14:textId="6AE419A7" w:rsidR="008D2D0D" w:rsidRPr="008D2D0D" w:rsidRDefault="008D2D0D" w:rsidP="008D2D0D">
      <w:r>
        <w:t xml:space="preserve">The two individuals who participated in this study provided written consent to participate in the original study as well as any follow-up interviews related to that study. Additional verbal </w:t>
      </w:r>
      <w:r>
        <w:lastRenderedPageBreak/>
        <w:t>consent was provided by the two individuals in the current study to verify their continued willingness to participate in the research project.</w:t>
      </w:r>
    </w:p>
    <w:p w14:paraId="368F0144" w14:textId="77777777" w:rsidR="00F82838" w:rsidRDefault="00F82838" w:rsidP="008D2D0D">
      <w:pPr>
        <w:pStyle w:val="Heading2"/>
      </w:pPr>
      <w:r>
        <w:t>Confidentiality of the Data</w:t>
      </w:r>
    </w:p>
    <w:p w14:paraId="5641D4D6" w14:textId="1B7780EE" w:rsidR="00F82838" w:rsidRPr="009E4701" w:rsidRDefault="00F82838" w:rsidP="00F82838">
      <w:r>
        <w:t>This data</w:t>
      </w:r>
      <w:r w:rsidR="008D2D0D">
        <w:t xml:space="preserve"> from the original study </w:t>
      </w:r>
      <w:r>
        <w:t>was entered directly into a HIPAA compliant, hospital-based medical record system at UNC-Chapel Hill Medical School, known as CareLink, and the UNCP REDCap system.</w:t>
      </w:r>
      <w:r w:rsidR="004C6DA8">
        <w:t xml:space="preserve"> </w:t>
      </w:r>
      <w:r w:rsidR="009E05C6">
        <w:t>Recordings and transcriptions from the current study were maintained on an encrypted</w:t>
      </w:r>
      <w:r w:rsidR="00B203B9">
        <w:t xml:space="preserve">, password protected hard drive. </w:t>
      </w:r>
    </w:p>
    <w:p w14:paraId="3E10CD93" w14:textId="4B8EC43A" w:rsidR="00546689" w:rsidRDefault="00546689" w:rsidP="00546689">
      <w:pPr>
        <w:pStyle w:val="Heading2"/>
      </w:pPr>
      <w:r>
        <w:t>Intervention</w:t>
      </w:r>
    </w:p>
    <w:p w14:paraId="438A55C4" w14:textId="2BBDB7C3" w:rsidR="00C53A41" w:rsidRDefault="00020156" w:rsidP="00391560">
      <w:r>
        <w:t xml:space="preserve">The </w:t>
      </w:r>
      <w:r w:rsidR="008D2D0D">
        <w:t xml:space="preserve">current </w:t>
      </w:r>
      <w:r>
        <w:t xml:space="preserve">study involved </w:t>
      </w:r>
      <w:r w:rsidR="00D858BE">
        <w:t xml:space="preserve">virtual interviews with two individuals who exhibited opposing profiles regarding the scoring on the prayer item in the original survey. An interview schedule (See Appendix </w:t>
      </w:r>
      <w:r w:rsidR="00FF5356">
        <w:t>B</w:t>
      </w:r>
      <w:r w:rsidR="00D858BE">
        <w:t xml:space="preserve">) was developed to guide these conversations. The interviews were </w:t>
      </w:r>
      <w:r w:rsidR="00D01D52">
        <w:t>recorded,</w:t>
      </w:r>
      <w:r w:rsidR="00D858BE">
        <w:t xml:space="preserve"> and the recordings were transcribed. The investigator and a faculty member </w:t>
      </w:r>
      <w:r w:rsidR="00504912">
        <w:t xml:space="preserve">evaluated the interview transcriptions using content analysis techniques to identify themes associated with the use of prayer. The research team members then met to come to a consensus regarding the themes that emerged. 100% agreement was achieved. </w:t>
      </w:r>
    </w:p>
    <w:p w14:paraId="7E8092DA" w14:textId="04116E88" w:rsidR="00F72C4F" w:rsidRDefault="00353255" w:rsidP="00353255">
      <w:pPr>
        <w:pStyle w:val="Heading2"/>
      </w:pPr>
      <w:r>
        <w:t>Survey</w:t>
      </w:r>
    </w:p>
    <w:p w14:paraId="58076168" w14:textId="22B2B123" w:rsidR="008A5409" w:rsidRDefault="0039513C" w:rsidP="00391560">
      <w:r>
        <w:t xml:space="preserve">Participants were given the full 15 statement vaccination </w:t>
      </w:r>
      <w:r w:rsidR="00E0048D">
        <w:t xml:space="preserve">survey </w:t>
      </w:r>
      <w:r w:rsidR="005A2108">
        <w:t>(</w:t>
      </w:r>
      <w:r w:rsidR="000240F5">
        <w:t xml:space="preserve">See Appendix </w:t>
      </w:r>
      <w:r w:rsidR="00FF5356">
        <w:t>C</w:t>
      </w:r>
      <w:r w:rsidR="000240F5">
        <w:t xml:space="preserve">) </w:t>
      </w:r>
      <w:r w:rsidR="00E0048D">
        <w:t xml:space="preserve">along with a second survey on mitigation efforts </w:t>
      </w:r>
      <w:r w:rsidR="006030E8">
        <w:t>(See A</w:t>
      </w:r>
      <w:r w:rsidR="00FF5356">
        <w:t xml:space="preserve">ppendix D) </w:t>
      </w:r>
      <w:r w:rsidR="00E0048D">
        <w:t>developed using the model from Betsch et al. (2018)</w:t>
      </w:r>
      <w:r w:rsidR="008A5409">
        <w:t>.</w:t>
      </w:r>
      <w:r w:rsidR="00E27023">
        <w:t xml:space="preserve"> Participants were asked how effective they felt the </w:t>
      </w:r>
      <w:r w:rsidR="00B203B9">
        <w:t>identified</w:t>
      </w:r>
      <w:r w:rsidR="00E27023">
        <w:t xml:space="preserve"> actions were </w:t>
      </w:r>
      <w:r w:rsidR="00E1273A">
        <w:t>in the prevention of COVID-19.</w:t>
      </w:r>
    </w:p>
    <w:p w14:paraId="13C7F2F0" w14:textId="5A4D232F" w:rsidR="009F1F26" w:rsidRDefault="00807CCF" w:rsidP="00FD0F46">
      <w:pPr>
        <w:pStyle w:val="Heading1"/>
      </w:pPr>
      <w:r>
        <w:t>Findings</w:t>
      </w:r>
    </w:p>
    <w:p w14:paraId="639CF21B" w14:textId="5A86F210" w:rsidR="00A66620" w:rsidRDefault="00FD0F46" w:rsidP="00FD0F46">
      <w:r>
        <w:t>The aim of th</w:t>
      </w:r>
      <w:r w:rsidR="001E55A1">
        <w:t xml:space="preserve">ese case studies is to </w:t>
      </w:r>
      <w:r w:rsidR="00DC17C0">
        <w:t>demonstrate a need for messaging to be driven by the population and their values.</w:t>
      </w:r>
      <w:r w:rsidR="00816582">
        <w:t xml:space="preserve"> The </w:t>
      </w:r>
      <w:r w:rsidR="00A66620">
        <w:t>focus</w:t>
      </w:r>
      <w:r w:rsidR="00FC633C">
        <w:t xml:space="preserve"> is on prayer and its use in relation to the use of other </w:t>
      </w:r>
      <w:r w:rsidR="00FC633C">
        <w:lastRenderedPageBreak/>
        <w:t>preventative measures against the COVID-19 pandemic.</w:t>
      </w:r>
      <w:r w:rsidR="00DC17C0">
        <w:t xml:space="preserve"> Ms. P and Mr. M were chosen </w:t>
      </w:r>
      <w:r w:rsidR="00386629">
        <w:t xml:space="preserve">based on their scores which </w:t>
      </w:r>
      <w:r w:rsidR="00024878">
        <w:t>represented</w:t>
      </w:r>
      <w:r w:rsidR="00386629">
        <w:t xml:space="preserve"> differing views. </w:t>
      </w:r>
      <w:r w:rsidR="00DD01B9">
        <w:t xml:space="preserve">Through analysis of the transcriptions there was a </w:t>
      </w:r>
      <w:r w:rsidR="002A3434">
        <w:t xml:space="preserve">95% agreement rate achieved by evaluators. </w:t>
      </w:r>
    </w:p>
    <w:p w14:paraId="387EF617" w14:textId="792E2ACA" w:rsidR="00FD0F46" w:rsidRDefault="003F303D" w:rsidP="00FD0F46">
      <w:r>
        <w:t>Themes that Ms. P and Mr. M had in common were that they both prayed, they both used prayer for comfort</w:t>
      </w:r>
      <w:r w:rsidR="00D224BD">
        <w:t xml:space="preserve">, and they both preformed risk assessments. </w:t>
      </w:r>
      <w:r w:rsidR="000C2679">
        <w:t>Ms. P</w:t>
      </w:r>
      <w:r w:rsidR="00D224BD">
        <w:t xml:space="preserve"> </w:t>
      </w:r>
      <w:r w:rsidR="000C2679">
        <w:t>stated,</w:t>
      </w:r>
      <w:r w:rsidR="00C60398">
        <w:t xml:space="preserve"> </w:t>
      </w:r>
      <w:r w:rsidR="000C2679">
        <w:t xml:space="preserve">“I’m not extremely religious, but I am, I would say, spiritual.” For her, </w:t>
      </w:r>
      <w:r w:rsidR="00D224BD">
        <w:t>prayer was</w:t>
      </w:r>
      <w:r w:rsidR="0054284F">
        <w:t xml:space="preserve"> defined as being used in a “spiritual” manner </w:t>
      </w:r>
      <w:r w:rsidR="000970B2">
        <w:t>in a way that fostered and inspired “hope”</w:t>
      </w:r>
      <w:r w:rsidR="00B603DF">
        <w:t xml:space="preserve"> while helping her to achieve “mindfulness” in her </w:t>
      </w:r>
      <w:r w:rsidR="007901C4">
        <w:t>day-to-day</w:t>
      </w:r>
      <w:r w:rsidR="00B603DF">
        <w:t xml:space="preserve"> life, specifically in the COVID-19 pandemic. </w:t>
      </w:r>
      <w:r w:rsidR="007901C4">
        <w:t>For Mr. M, prayer was defined as a “routine” religious practice</w:t>
      </w:r>
      <w:r w:rsidR="00C71573">
        <w:t xml:space="preserve"> in which </w:t>
      </w:r>
      <w:r w:rsidR="00533B95">
        <w:t xml:space="preserve">he </w:t>
      </w:r>
      <w:r w:rsidR="008F6C97">
        <w:t xml:space="preserve">states that he </w:t>
      </w:r>
      <w:r w:rsidR="00533B95">
        <w:t>prays “silently, to myself, in various situations and places</w:t>
      </w:r>
      <w:r w:rsidR="008F6C97">
        <w:t>.” Mr. M used prayer to</w:t>
      </w:r>
      <w:r w:rsidR="002A22DD">
        <w:t xml:space="preserve"> </w:t>
      </w:r>
      <w:r w:rsidR="009A47F0">
        <w:t>“ask for help”</w:t>
      </w:r>
      <w:r w:rsidR="00BD6276">
        <w:t xml:space="preserve"> and </w:t>
      </w:r>
      <w:r w:rsidR="00601928">
        <w:t xml:space="preserve">to </w:t>
      </w:r>
      <w:r w:rsidR="00BD6276">
        <w:t>see</w:t>
      </w:r>
      <w:r w:rsidR="00750E24">
        <w:t xml:space="preserve">k “healing” in the face of illness. </w:t>
      </w:r>
      <w:r w:rsidR="00FE4A93">
        <w:t xml:space="preserve">When using prayer for comfort, Ms. P </w:t>
      </w:r>
      <w:r w:rsidR="00694167">
        <w:t>said,</w:t>
      </w:r>
      <w:r w:rsidR="00FE4A93">
        <w:t xml:space="preserve"> “If I have a cold, I don’t pray for healing, I pray for comfort in my mind and I go take cold medicine.” </w:t>
      </w:r>
      <w:r w:rsidR="00694167">
        <w:t xml:space="preserve">While Mr. M states that </w:t>
      </w:r>
      <w:r w:rsidR="00F27787">
        <w:t>through using prayer for healing, he finds comfort</w:t>
      </w:r>
      <w:r w:rsidR="00A66620">
        <w:t xml:space="preserve">. </w:t>
      </w:r>
      <w:r w:rsidR="00B65A89">
        <w:t>Risk</w:t>
      </w:r>
      <w:r w:rsidR="00CA3740">
        <w:t xml:space="preserve"> assessments were </w:t>
      </w:r>
      <w:r w:rsidR="00A93A29">
        <w:t>performed</w:t>
      </w:r>
      <w:r w:rsidR="00CA3740">
        <w:t xml:space="preserve"> by both participants in their personal lives</w:t>
      </w:r>
      <w:r w:rsidR="00ED605A">
        <w:t xml:space="preserve">. </w:t>
      </w:r>
      <w:r w:rsidR="00CA3740">
        <w:t xml:space="preserve">Ms. P found that when she had less information about COVID-19, she was </w:t>
      </w:r>
      <w:r w:rsidR="0070644D">
        <w:t>more cautious</w:t>
      </w:r>
      <w:r w:rsidR="00DF431E">
        <w:t xml:space="preserve">, but with more information, she has relaxed in some </w:t>
      </w:r>
      <w:r w:rsidR="005251D0">
        <w:t>respects</w:t>
      </w:r>
      <w:r w:rsidR="00DF431E">
        <w:t xml:space="preserve"> because she feels she has a go</w:t>
      </w:r>
      <w:r w:rsidR="005251D0">
        <w:t>o</w:t>
      </w:r>
      <w:r w:rsidR="00DF431E">
        <w:t xml:space="preserve">d </w:t>
      </w:r>
      <w:r w:rsidR="005251D0">
        <w:t>understanding</w:t>
      </w:r>
      <w:r w:rsidR="00DF431E">
        <w:t xml:space="preserve"> of how to prevent </w:t>
      </w:r>
      <w:r w:rsidR="005251D0">
        <w:t>illness based on the literature she reads</w:t>
      </w:r>
      <w:r w:rsidR="00ED605A">
        <w:t>. Mr. M maintain</w:t>
      </w:r>
      <w:r w:rsidR="008F0781">
        <w:t>s the same degree of caution throughout the pandemic</w:t>
      </w:r>
      <w:r w:rsidR="00E113A5">
        <w:t xml:space="preserve"> in his personal </w:t>
      </w:r>
      <w:r w:rsidR="008D71E8">
        <w:t>life but</w:t>
      </w:r>
      <w:r w:rsidR="00E113A5">
        <w:t xml:space="preserve"> is required to be more cautious in his work environment</w:t>
      </w:r>
      <w:r w:rsidR="005251D0">
        <w:t>, he also expresses th</w:t>
      </w:r>
      <w:r w:rsidR="002A32CF">
        <w:t>at he feels he has a good understanding of disease prevention due to the literature he reads</w:t>
      </w:r>
      <w:r w:rsidR="00E113A5">
        <w:t xml:space="preserve">. </w:t>
      </w:r>
    </w:p>
    <w:p w14:paraId="23C96B94" w14:textId="44570B98" w:rsidR="002A32CF" w:rsidRPr="00FD0F46" w:rsidRDefault="007464B0" w:rsidP="00FD0F46">
      <w:r>
        <w:t>Where Ms. P and Mr. M begin to differ are in their forms of prayer as discussed prior</w:t>
      </w:r>
      <w:r w:rsidR="00E97657">
        <w:t>, the</w:t>
      </w:r>
      <w:r w:rsidR="008E43D5">
        <w:t>ir perceived basis for common sense,</w:t>
      </w:r>
      <w:r>
        <w:t xml:space="preserve"> and their sources of information</w:t>
      </w:r>
      <w:r w:rsidR="00E97657">
        <w:t xml:space="preserve">. </w:t>
      </w:r>
      <w:r w:rsidR="000A6018">
        <w:t xml:space="preserve">Ms. P expressed that her prayer is one of spiritual background while Mr. M expressed that his prayer is religious. </w:t>
      </w:r>
      <w:r w:rsidR="00881421">
        <w:t xml:space="preserve">When it comes to common sense, Ms. P </w:t>
      </w:r>
      <w:r w:rsidR="0093407F">
        <w:t xml:space="preserve">stated that “the Creator gave me common sense” while </w:t>
      </w:r>
      <w:r w:rsidR="0093407F">
        <w:lastRenderedPageBreak/>
        <w:t xml:space="preserve">Mr. M noted that </w:t>
      </w:r>
      <w:r w:rsidR="00B424DD">
        <w:t xml:space="preserve">his acquired common sense is what helped him through the height of COVID-19. </w:t>
      </w:r>
      <w:r w:rsidR="002A66A6">
        <w:t xml:space="preserve">These two descriptors of common sense can be differentiated by external common sense and internal common sense. What Ms. P describes her common sense as is considered external and what Mr. M describes his common sense as is considered internal. </w:t>
      </w:r>
      <w:r w:rsidR="005A71D8">
        <w:t xml:space="preserve">The sources of information that Ms. P and Mr. M base their </w:t>
      </w:r>
      <w:r w:rsidR="00EA1A49">
        <w:t xml:space="preserve">views from are also different. Ms. P discusses interacting with </w:t>
      </w:r>
      <w:r w:rsidR="00ED7182">
        <w:t>“like-minded” people in her profession</w:t>
      </w:r>
      <w:r w:rsidR="00D80CC3">
        <w:t xml:space="preserve"> and reviewing scientific literature while Mr. M notably discusses </w:t>
      </w:r>
      <w:r w:rsidR="008F28B8">
        <w:t xml:space="preserve">the “political realm” and “administration” </w:t>
      </w:r>
      <w:r w:rsidR="007B58E9">
        <w:t xml:space="preserve">as sources that stick out to him in his daily life. </w:t>
      </w:r>
      <w:r w:rsidR="00FC4436">
        <w:t xml:space="preserve">While neither are right or wrong sources of data, this can show that Ms. P </w:t>
      </w:r>
      <w:r w:rsidR="00854BB5">
        <w:t>may rely</w:t>
      </w:r>
      <w:r w:rsidR="00FC4436">
        <w:t xml:space="preserve"> more on the Cognitive Domain while Mr. M may rely more on the Affective Domain. </w:t>
      </w:r>
      <w:r w:rsidR="00854BB5">
        <w:t xml:space="preserve">This may be due to </w:t>
      </w:r>
      <w:r w:rsidR="003308A3">
        <w:t xml:space="preserve">environmental influences such as place of employment affecting the flow of information. </w:t>
      </w:r>
    </w:p>
    <w:p w14:paraId="681616AB" w14:textId="46DEE156" w:rsidR="009F1F26" w:rsidRDefault="009A4420" w:rsidP="009F1F26">
      <w:pPr>
        <w:pStyle w:val="Heading1"/>
      </w:pPr>
      <w:r>
        <w:t>Discussion</w:t>
      </w:r>
    </w:p>
    <w:p w14:paraId="442FA840" w14:textId="73D36F17" w:rsidR="00EF7EB7" w:rsidRDefault="00BB000C" w:rsidP="00EC20E4">
      <w:r>
        <w:t>Through content analysis of Ms. P and Mr. M’s transcripts, it becomes evident that prayer is a broad term that cannot be</w:t>
      </w:r>
      <w:r w:rsidR="00124388">
        <w:t xml:space="preserve"> broken down into simply</w:t>
      </w:r>
      <w:r>
        <w:t xml:space="preserve"> religious and non-religiou</w:t>
      </w:r>
      <w:r w:rsidR="00124388">
        <w:t>s</w:t>
      </w:r>
      <w:r>
        <w:t xml:space="preserve">. </w:t>
      </w:r>
      <w:r w:rsidR="00246F29">
        <w:t xml:space="preserve">While Ms. P scored prayer </w:t>
      </w:r>
      <w:r w:rsidR="00B97A1B">
        <w:t xml:space="preserve">low as an effective preventative measure and Mr. M scored prayer high as an effective preventative measure, </w:t>
      </w:r>
      <w:r w:rsidR="00392527">
        <w:t xml:space="preserve">they both still utilize it in their daily lives. </w:t>
      </w:r>
      <w:r w:rsidR="007E6C52">
        <w:t>Prayer serves as a vessel for comfort, healing, and meditation</w:t>
      </w:r>
      <w:r w:rsidR="00392527">
        <w:t>. It</w:t>
      </w:r>
      <w:r w:rsidR="00CE74E6">
        <w:t xml:space="preserve"> remains a well-trusted practice in the face of uncertainty. </w:t>
      </w:r>
      <w:r w:rsidR="00BD72A7">
        <w:t xml:space="preserve">These two individuals, while using prayer in </w:t>
      </w:r>
      <w:r w:rsidR="00186E9C">
        <w:t>diverse ways</w:t>
      </w:r>
      <w:r w:rsidR="00BD72A7">
        <w:t xml:space="preserve">, maintain this practice throughout </w:t>
      </w:r>
      <w:r w:rsidR="00BD33F8">
        <w:t xml:space="preserve">the pandemic because of its employment in their daily lives. For Ms. P, prayer is a </w:t>
      </w:r>
      <w:r w:rsidR="005043E8">
        <w:t xml:space="preserve">reinforcing experience that provides her with a sense of mindfulness as she </w:t>
      </w:r>
      <w:r w:rsidR="001E7F44">
        <w:t>looks at literature regarding COVID-19</w:t>
      </w:r>
      <w:r w:rsidR="00255C07">
        <w:t xml:space="preserve">. She uses prayer as a tool for comfort while believing she has been instilled with “common sense” to use the science given to her. For Mr. M, prayer is a deeply personal and grounding experience that provides him with </w:t>
      </w:r>
      <w:r w:rsidR="00594540">
        <w:t xml:space="preserve">aid and health in times of need. He seeks out materials that provide him </w:t>
      </w:r>
      <w:r w:rsidR="00F22977">
        <w:t xml:space="preserve">with information </w:t>
      </w:r>
      <w:r w:rsidR="00655675">
        <w:t>within</w:t>
      </w:r>
      <w:r w:rsidR="00F22977">
        <w:t xml:space="preserve"> the scope of politics and news which are </w:t>
      </w:r>
      <w:r w:rsidR="00F22977">
        <w:lastRenderedPageBreak/>
        <w:t xml:space="preserve">presented with the feelings of the audience in mind. </w:t>
      </w:r>
      <w:r w:rsidR="009F4FBD">
        <w:t xml:space="preserve">By looking at these two similar but </w:t>
      </w:r>
      <w:r w:rsidR="00ED70C8">
        <w:t>vastly different</w:t>
      </w:r>
      <w:r w:rsidR="009F4FBD">
        <w:t xml:space="preserve"> individuals, </w:t>
      </w:r>
      <w:r w:rsidR="00684C49">
        <w:t xml:space="preserve">the need for a better understanding of the impact of prayer </w:t>
      </w:r>
      <w:r w:rsidR="00ED70C8">
        <w:t xml:space="preserve">on all aspects of their lives emerges. </w:t>
      </w:r>
    </w:p>
    <w:p w14:paraId="55E66ABE" w14:textId="0FFBDE0D" w:rsidR="00EF7EB7" w:rsidRDefault="00EF7EB7" w:rsidP="00EF7EB7">
      <w:pPr>
        <w:pStyle w:val="Heading1"/>
      </w:pPr>
      <w:r>
        <w:t xml:space="preserve">Implications for Developing a Framework for </w:t>
      </w:r>
      <w:r w:rsidR="009A4420">
        <w:t>Interventions</w:t>
      </w:r>
    </w:p>
    <w:p w14:paraId="1532E4FB" w14:textId="5128FC0A" w:rsidR="00EC20E4" w:rsidRDefault="00ED70C8" w:rsidP="00EC20E4">
      <w:r>
        <w:t xml:space="preserve">It is evident that by comparing these two that Ms. P, who prays </w:t>
      </w:r>
      <w:r w:rsidR="007D317E">
        <w:t xml:space="preserve">non-religiously, falls into the Cognitive domain of </w:t>
      </w:r>
      <w:r w:rsidR="007D317E">
        <w:rPr>
          <w:i/>
          <w:iCs/>
        </w:rPr>
        <w:t>Bloom’s Taxonomy</w:t>
      </w:r>
      <w:r w:rsidR="007D317E">
        <w:t xml:space="preserve"> while Mr. M, who prays religiously, falls into the Affective domain of </w:t>
      </w:r>
      <w:r w:rsidR="007D317E">
        <w:rPr>
          <w:i/>
          <w:iCs/>
        </w:rPr>
        <w:t>Bloom’s Taxonomy</w:t>
      </w:r>
      <w:r w:rsidR="007D317E">
        <w:t xml:space="preserve">. </w:t>
      </w:r>
      <w:r w:rsidR="00EE4C55">
        <w:t>If the use of prayer can be applied to these domains on a mass scale, health education can be catered better to the needs of individuals</w:t>
      </w:r>
      <w:r w:rsidR="00CE2E12">
        <w:t xml:space="preserve">. </w:t>
      </w:r>
      <w:r w:rsidR="00D62FF1">
        <w:t>While providing materials supported by scientific evidence may work for those in the Cognitive domain like Ms. P, u</w:t>
      </w:r>
      <w:r w:rsidR="00EC20E4">
        <w:t>sing faith-based interventions may work for</w:t>
      </w:r>
      <w:r w:rsidR="00023E1C">
        <w:t xml:space="preserve"> individuals who</w:t>
      </w:r>
      <w:r w:rsidR="00EC20E4">
        <w:t xml:space="preserve"> </w:t>
      </w:r>
      <w:r w:rsidR="00023E1C">
        <w:t xml:space="preserve">use prayer in a religious way and fall into the Affective domain like </w:t>
      </w:r>
      <w:r w:rsidR="00EC20E4">
        <w:t>Mr. M</w:t>
      </w:r>
      <w:r w:rsidR="00023E1C">
        <w:t xml:space="preserve">. </w:t>
      </w:r>
      <w:r w:rsidR="00D63950">
        <w:t xml:space="preserve">Examples of these interventions can be group testimonial, pastoral leadership, </w:t>
      </w:r>
      <w:r w:rsidR="00D74893">
        <w:t>church-sponsored education/events, or tailored communications (</w:t>
      </w:r>
      <w:r w:rsidR="008F6315">
        <w:t xml:space="preserve">Campbell et al., 2006). </w:t>
      </w:r>
      <w:r w:rsidR="00F97E4A">
        <w:t xml:space="preserve">Involving the church may be the most beneficial for these individuals. Another way to cater to the Affective domain could simply be </w:t>
      </w:r>
      <w:r w:rsidR="009D631D">
        <w:t xml:space="preserve">brief </w:t>
      </w:r>
      <w:r w:rsidR="00854223">
        <w:t xml:space="preserve">commercial </w:t>
      </w:r>
      <w:r w:rsidR="00F97E4A">
        <w:t>vignette</w:t>
      </w:r>
      <w:r w:rsidR="00854223">
        <w:t>s</w:t>
      </w:r>
      <w:r w:rsidR="00F97E4A">
        <w:t xml:space="preserve"> that include individuals of the same appearance, job, or culture as the populations requiring </w:t>
      </w:r>
      <w:r w:rsidR="009D631D">
        <w:t>CO</w:t>
      </w:r>
      <w:r w:rsidR="00F97E4A">
        <w:t xml:space="preserve">VID-19 education the most. </w:t>
      </w:r>
      <w:r w:rsidR="00DD0E39">
        <w:t>It is not a lack of educational resources that is affecting participation in preventative measure</w:t>
      </w:r>
      <w:r w:rsidR="00973EB4">
        <w:t>s</w:t>
      </w:r>
      <w:r w:rsidR="00DD0E39">
        <w:t xml:space="preserve">, but </w:t>
      </w:r>
      <w:r w:rsidR="00D91F52">
        <w:t>a</w:t>
      </w:r>
      <w:r w:rsidR="00DD0E39">
        <w:t xml:space="preserve"> lack of appealing educational resources. </w:t>
      </w:r>
    </w:p>
    <w:p w14:paraId="64DA233B" w14:textId="201F348C" w:rsidR="00D91F52" w:rsidRDefault="00D91F52" w:rsidP="00D91F52">
      <w:pPr>
        <w:pStyle w:val="Heading1"/>
      </w:pPr>
      <w:r>
        <w:t>Study Limitations</w:t>
      </w:r>
    </w:p>
    <w:p w14:paraId="0397E438" w14:textId="3F2BC6F7" w:rsidR="00D91F52" w:rsidRPr="00D91F52" w:rsidRDefault="00420265" w:rsidP="00D91F52">
      <w:r>
        <w:t xml:space="preserve">The small sample size limits the </w:t>
      </w:r>
      <w:r w:rsidR="00B22EC2">
        <w:t>transferability</w:t>
      </w:r>
      <w:r>
        <w:t xml:space="preserve"> of the results. Those willing to be interviewed represented opposing cases but, because </w:t>
      </w:r>
      <w:r w:rsidR="000D1FC2">
        <w:t xml:space="preserve">of the diversity on multiple characteristics of the participants in the parent study, may not fully represent the population of interest. </w:t>
      </w:r>
    </w:p>
    <w:sdt>
      <w:sdtPr>
        <w:rPr>
          <w:rFonts w:asciiTheme="minorHAnsi" w:eastAsiaTheme="minorEastAsia" w:hAnsiTheme="minorHAnsi" w:cstheme="minorBidi"/>
        </w:rPr>
        <w:id w:val="-1096949615"/>
        <w:docPartObj>
          <w:docPartGallery w:val="Bibliographies"/>
          <w:docPartUnique/>
        </w:docPartObj>
      </w:sdtPr>
      <w:sdtEndPr/>
      <w:sdtContent>
        <w:p w14:paraId="0D506E3C" w14:textId="77777777" w:rsidR="00097169" w:rsidRDefault="00097169" w:rsidP="00097169">
          <w:pPr>
            <w:pStyle w:val="SectionTitle"/>
          </w:pPr>
          <w:r>
            <w:t>References</w:t>
          </w:r>
        </w:p>
        <w:sdt>
          <w:sdtPr>
            <w:id w:val="-573587230"/>
            <w:bibliography/>
          </w:sdtPr>
          <w:sdtEndPr/>
          <w:sdtContent>
            <w:p w14:paraId="09F7B3B5" w14:textId="5A6AB42E" w:rsidR="004D5DEF" w:rsidRDefault="004D5DEF" w:rsidP="004D5DEF">
              <w:pPr>
                <w:pStyle w:val="Bibliography"/>
              </w:pPr>
              <w:r w:rsidRPr="004D5DEF">
                <w:t xml:space="preserve">Ayers, S. L., &amp; Kronenfeld, J. J. (2010). Using factor analysis to create complementary and alternative medicine domains: An examination of patterns of use. </w:t>
              </w:r>
              <w:r w:rsidRPr="004D5DEF">
                <w:rPr>
                  <w:i/>
                  <w:iCs/>
                </w:rPr>
                <w:t>Health: An Interdisciplinary Journal for the Social Study of Health, Illness and Medicine</w:t>
              </w:r>
              <w:r w:rsidRPr="004D5DEF">
                <w:t xml:space="preserve">, </w:t>
              </w:r>
              <w:r w:rsidRPr="004D5DEF">
                <w:rPr>
                  <w:i/>
                  <w:iCs/>
                </w:rPr>
                <w:t>14</w:t>
              </w:r>
              <w:r w:rsidRPr="004D5DEF">
                <w:t xml:space="preserve">(3), 234–252. https://doi.org/10.1177/1363459309347491 </w:t>
              </w:r>
            </w:p>
            <w:p w14:paraId="08D2FDE5" w14:textId="60ED4833" w:rsidR="004509BB" w:rsidRDefault="004509BB" w:rsidP="004509BB">
              <w:pPr>
                <w:pStyle w:val="Bibliography"/>
              </w:pPr>
              <w:r w:rsidRPr="004509BB">
                <w:t xml:space="preserve">Betsch, C., Schmid, P., </w:t>
              </w:r>
              <w:proofErr w:type="spellStart"/>
              <w:r w:rsidRPr="004509BB">
                <w:t>Heinemeier</w:t>
              </w:r>
              <w:proofErr w:type="spellEnd"/>
              <w:r w:rsidRPr="004509BB">
                <w:t xml:space="preserve">, D., Korn, L., </w:t>
              </w:r>
              <w:proofErr w:type="spellStart"/>
              <w:r w:rsidRPr="004509BB">
                <w:t>Holtmann</w:t>
              </w:r>
              <w:proofErr w:type="spellEnd"/>
              <w:r w:rsidRPr="004509BB">
                <w:t xml:space="preserve">, C., &amp; </w:t>
              </w:r>
              <w:proofErr w:type="spellStart"/>
              <w:r w:rsidRPr="004509BB">
                <w:t>Böhm</w:t>
              </w:r>
              <w:proofErr w:type="spellEnd"/>
              <w:r w:rsidRPr="004509BB">
                <w:t xml:space="preserve">, R. (2018). Beyond confidence: Development of a measure assessing the 5c psychological antecedents of vaccination. </w:t>
              </w:r>
              <w:r w:rsidRPr="004509BB">
                <w:rPr>
                  <w:i/>
                  <w:iCs/>
                </w:rPr>
                <w:t>PLOS ONE</w:t>
              </w:r>
              <w:r w:rsidRPr="004509BB">
                <w:t xml:space="preserve">, </w:t>
              </w:r>
              <w:r w:rsidRPr="004509BB">
                <w:rPr>
                  <w:i/>
                  <w:iCs/>
                </w:rPr>
                <w:t>13</w:t>
              </w:r>
              <w:r w:rsidRPr="004509BB">
                <w:t xml:space="preserve">(12). https://doi.org/10.1371/journal.pone.0208601 </w:t>
              </w:r>
            </w:p>
            <w:p w14:paraId="3A13BDBF" w14:textId="35DBB9DF" w:rsidR="00232E4A" w:rsidRDefault="00232E4A" w:rsidP="00232E4A">
              <w:pPr>
                <w:ind w:left="720" w:hanging="720"/>
              </w:pPr>
              <w:r w:rsidRPr="00232E4A">
                <w:rPr>
                  <w:i/>
                  <w:iCs/>
                </w:rPr>
                <w:t>Bloom’s revised taxonomy: Cognitive, affective, and psychomotor - A-state</w:t>
              </w:r>
              <w:r w:rsidRPr="00232E4A">
                <w:t xml:space="preserve">. (n.d.). Retrieved April 19, 2022, from </w:t>
              </w:r>
              <w:hyperlink r:id="rId9" w:history="1">
                <w:r w:rsidR="00296EEC" w:rsidRPr="000C543B">
                  <w:rPr>
                    <w:rStyle w:val="Hyperlink"/>
                  </w:rPr>
                  <w:t>https://www.astate.edu/dotAsset/7a3b152c-b73a-45d6-b8a3-7ecf7f786f6a.pdf</w:t>
                </w:r>
              </w:hyperlink>
              <w:r w:rsidRPr="00232E4A">
                <w:t xml:space="preserve"> </w:t>
              </w:r>
            </w:p>
            <w:p w14:paraId="7DBCF0C6" w14:textId="2800BE14" w:rsidR="00D60082" w:rsidRDefault="00D60082" w:rsidP="00D60082">
              <w:pPr>
                <w:ind w:left="720" w:hanging="720"/>
              </w:pPr>
              <w:r w:rsidRPr="00D60082">
                <w:t xml:space="preserve">Campbell, M. K., Hudson, M. A., </w:t>
              </w:r>
              <w:proofErr w:type="spellStart"/>
              <w:r w:rsidRPr="00D60082">
                <w:t>Resnicow</w:t>
              </w:r>
              <w:proofErr w:type="spellEnd"/>
              <w:r w:rsidRPr="00D60082">
                <w:t xml:space="preserve">, K., Blakeney, N., Paxton, A., &amp; Baskin, M. (2007). Church-based health promotion interventions: Evidence and lessons learned. </w:t>
              </w:r>
              <w:r w:rsidRPr="00D60082">
                <w:rPr>
                  <w:i/>
                  <w:iCs/>
                </w:rPr>
                <w:t>Annual Review of Public Health</w:t>
              </w:r>
              <w:r w:rsidRPr="00D60082">
                <w:t xml:space="preserve">, </w:t>
              </w:r>
              <w:r w:rsidRPr="00D60082">
                <w:rPr>
                  <w:i/>
                  <w:iCs/>
                </w:rPr>
                <w:t>28</w:t>
              </w:r>
              <w:r w:rsidRPr="00D60082">
                <w:t xml:space="preserve">(1), 213–234. https://doi.org/10.1146/annurev.publhealth.28.021406.144016 </w:t>
              </w:r>
            </w:p>
            <w:p w14:paraId="65F8298F" w14:textId="4FDFE2C3" w:rsidR="005C59DF" w:rsidRDefault="005C59DF" w:rsidP="005C59DF">
              <w:pPr>
                <w:ind w:left="720" w:hanging="720"/>
              </w:pPr>
              <w:r w:rsidRPr="005C59DF">
                <w:t xml:space="preserve">Cummings, J. P., &amp; Pargament, K. I. (2010). Medicine for the spirit: Religious coping in individuals with medical conditions. </w:t>
              </w:r>
              <w:r w:rsidRPr="005C59DF">
                <w:rPr>
                  <w:i/>
                  <w:iCs/>
                </w:rPr>
                <w:t>Religions</w:t>
              </w:r>
              <w:r w:rsidRPr="005C59DF">
                <w:t xml:space="preserve">, </w:t>
              </w:r>
              <w:r w:rsidRPr="005C59DF">
                <w:rPr>
                  <w:i/>
                  <w:iCs/>
                </w:rPr>
                <w:t>1</w:t>
              </w:r>
              <w:r w:rsidRPr="005C59DF">
                <w:t xml:space="preserve">(1), 28–53. https://doi.org/10.3390/rel1010028 </w:t>
              </w:r>
            </w:p>
            <w:p w14:paraId="1638E566" w14:textId="059BEFB1" w:rsidR="00296EEC" w:rsidRDefault="00296EEC" w:rsidP="00232E4A">
              <w:pPr>
                <w:ind w:left="720" w:hanging="720"/>
              </w:pPr>
              <w:r w:rsidRPr="00296EEC">
                <w:t xml:space="preserve">Esperandio, M., &amp; Ladd, K. (2015). “I heard the voice. I felt the presence”: Prayer, health and implications for clinical practice. Religions, 6(2), 670–685. </w:t>
              </w:r>
              <w:hyperlink r:id="rId10" w:history="1">
                <w:r w:rsidR="00D22E1F" w:rsidRPr="000C543B">
                  <w:rPr>
                    <w:rStyle w:val="Hyperlink"/>
                  </w:rPr>
                  <w:t>https://doi.org/10.3390/rel6020670</w:t>
                </w:r>
              </w:hyperlink>
            </w:p>
            <w:p w14:paraId="15FC3170" w14:textId="1D7C057E" w:rsidR="00D22E1F" w:rsidRDefault="00D22E1F" w:rsidP="00D22E1F">
              <w:pPr>
                <w:ind w:left="720" w:hanging="720"/>
              </w:pPr>
              <w:r w:rsidRPr="00D22E1F">
                <w:t xml:space="preserve">Green, C. A. (2018). Complimentary care: When our patients request to pray. </w:t>
              </w:r>
              <w:r w:rsidRPr="00D22E1F">
                <w:rPr>
                  <w:i/>
                  <w:iCs/>
                </w:rPr>
                <w:t>Journal of Religion and Health</w:t>
              </w:r>
              <w:r w:rsidRPr="00D22E1F">
                <w:t xml:space="preserve">, </w:t>
              </w:r>
              <w:r w:rsidRPr="00D22E1F">
                <w:rPr>
                  <w:i/>
                  <w:iCs/>
                </w:rPr>
                <w:t>57</w:t>
              </w:r>
              <w:r w:rsidRPr="00D22E1F">
                <w:t xml:space="preserve">(3), 1179–1182. https://doi.org/10.1007/s10943-018-0599-x </w:t>
              </w:r>
            </w:p>
            <w:p w14:paraId="796FBAE5" w14:textId="36966252" w:rsidR="00E23F70" w:rsidRDefault="00E23F70" w:rsidP="00E23F70">
              <w:pPr>
                <w:ind w:left="720" w:hanging="720"/>
              </w:pPr>
              <w:r w:rsidRPr="00E23F70">
                <w:lastRenderedPageBreak/>
                <w:t xml:space="preserve">Harris, S., Kaplan, J. T., Curiel, A., </w:t>
              </w:r>
              <w:proofErr w:type="spellStart"/>
              <w:r w:rsidRPr="00E23F70">
                <w:t>Bookheimer</w:t>
              </w:r>
              <w:proofErr w:type="spellEnd"/>
              <w:r w:rsidRPr="00E23F70">
                <w:t xml:space="preserve">, S. Y., </w:t>
              </w:r>
              <w:proofErr w:type="spellStart"/>
              <w:r w:rsidRPr="00E23F70">
                <w:t>Iacoboni</w:t>
              </w:r>
              <w:proofErr w:type="spellEnd"/>
              <w:r w:rsidRPr="00E23F70">
                <w:t xml:space="preserve">, M., &amp; Cohen, M. S. (2009). The neural correlates of religious and nonreligious belief. </w:t>
              </w:r>
              <w:proofErr w:type="spellStart"/>
              <w:r w:rsidRPr="00E23F70">
                <w:rPr>
                  <w:i/>
                  <w:iCs/>
                </w:rPr>
                <w:t>PLoS</w:t>
              </w:r>
              <w:proofErr w:type="spellEnd"/>
              <w:r w:rsidRPr="00E23F70">
                <w:rPr>
                  <w:i/>
                  <w:iCs/>
                </w:rPr>
                <w:t xml:space="preserve"> ONE</w:t>
              </w:r>
              <w:r w:rsidRPr="00E23F70">
                <w:t xml:space="preserve">, </w:t>
              </w:r>
              <w:r w:rsidRPr="00E23F70">
                <w:rPr>
                  <w:i/>
                  <w:iCs/>
                </w:rPr>
                <w:t>4</w:t>
              </w:r>
              <w:r w:rsidRPr="00E23F70">
                <w:t xml:space="preserve">(10), 1–9. https://doi.org/10.1371/journal.pone.0007272 </w:t>
              </w:r>
            </w:p>
            <w:p w14:paraId="5B138676" w14:textId="41DF6285" w:rsidR="00BC1040" w:rsidRPr="00232E4A" w:rsidRDefault="00BC1040" w:rsidP="00BC1040">
              <w:pPr>
                <w:ind w:left="720" w:hanging="720"/>
              </w:pPr>
              <w:r w:rsidRPr="00BC1040">
                <w:t xml:space="preserve">Jantos, M., &amp; Kiat, H. (2007). Prayer as medicine: How much have we learned? </w:t>
              </w:r>
              <w:r w:rsidRPr="00BC1040">
                <w:rPr>
                  <w:i/>
                  <w:iCs/>
                </w:rPr>
                <w:t>Medical Journal of Australia</w:t>
              </w:r>
              <w:r w:rsidRPr="00BC1040">
                <w:t xml:space="preserve">, </w:t>
              </w:r>
              <w:r w:rsidRPr="00BC1040">
                <w:rPr>
                  <w:i/>
                  <w:iCs/>
                </w:rPr>
                <w:t>186</w:t>
              </w:r>
              <w:r w:rsidRPr="00BC1040">
                <w:t xml:space="preserve">(10), 51–53. https://doi.org/10.5694/j.1326-5377.2007.tb01041.x </w:t>
              </w:r>
            </w:p>
            <w:p w14:paraId="7F370BFE" w14:textId="42317FBB" w:rsidR="008A1B47" w:rsidRDefault="00A33273" w:rsidP="00A33273">
              <w:pPr>
                <w:ind w:left="720" w:hanging="720"/>
              </w:pPr>
              <w:proofErr w:type="spellStart"/>
              <w:r w:rsidRPr="00A33273">
                <w:t>Khairat</w:t>
              </w:r>
              <w:proofErr w:type="spellEnd"/>
              <w:r w:rsidRPr="00A33273">
                <w:t xml:space="preserve">, S., Zou, B., &amp; Adler-Milstein, J. (2022). Factors and reasons associated with low COVID-19 vaccine uptake among highly hesitant communities in the US. </w:t>
              </w:r>
              <w:r w:rsidRPr="00A33273">
                <w:rPr>
                  <w:i/>
                  <w:iCs/>
                </w:rPr>
                <w:t>American Journal of Infection Control</w:t>
              </w:r>
              <w:r w:rsidRPr="00A33273">
                <w:t xml:space="preserve">, </w:t>
              </w:r>
              <w:r w:rsidRPr="00A33273">
                <w:rPr>
                  <w:i/>
                  <w:iCs/>
                </w:rPr>
                <w:t>50</w:t>
              </w:r>
              <w:r w:rsidRPr="00A33273">
                <w:t xml:space="preserve">(3), 262–267. </w:t>
              </w:r>
              <w:hyperlink r:id="rId11" w:history="1">
                <w:r w:rsidR="008A1B47" w:rsidRPr="000C543B">
                  <w:rPr>
                    <w:rStyle w:val="Hyperlink"/>
                  </w:rPr>
                  <w:t>https://doi.org/10.1016/j.ajic.2021.12.013</w:t>
                </w:r>
              </w:hyperlink>
            </w:p>
            <w:p w14:paraId="0248F345" w14:textId="0DF3AAEA" w:rsidR="00A33273" w:rsidRDefault="008A1B47" w:rsidP="008A1B47">
              <w:pPr>
                <w:ind w:left="720" w:hanging="720"/>
              </w:pPr>
              <w:r w:rsidRPr="008A1B47">
                <w:t xml:space="preserve">Koenig, H. G., McCullough, M. E., &amp; Larson, D. B. (2001). </w:t>
              </w:r>
              <w:r w:rsidRPr="008A1B47">
                <w:rPr>
                  <w:i/>
                  <w:iCs/>
                </w:rPr>
                <w:t>Handbook of Religion and Health</w:t>
              </w:r>
              <w:r w:rsidRPr="008A1B47">
                <w:t>. Oxford Univ. Press.</w:t>
              </w:r>
            </w:p>
            <w:p w14:paraId="3FFCC4E3" w14:textId="78408451" w:rsidR="00C81DF9" w:rsidRDefault="00C81DF9" w:rsidP="00C81DF9">
              <w:pPr>
                <w:ind w:left="720" w:hanging="720"/>
              </w:pPr>
              <w:r w:rsidRPr="00C81DF9">
                <w:t xml:space="preserve">Ly, A. L., </w:t>
              </w:r>
              <w:proofErr w:type="spellStart"/>
              <w:r w:rsidRPr="00C81DF9">
                <w:t>Saide</w:t>
              </w:r>
              <w:proofErr w:type="spellEnd"/>
              <w:r w:rsidRPr="00C81DF9">
                <w:t xml:space="preserve">, A. R., &amp; </w:t>
              </w:r>
              <w:proofErr w:type="spellStart"/>
              <w:r w:rsidRPr="00C81DF9">
                <w:t>Richert</w:t>
              </w:r>
              <w:proofErr w:type="spellEnd"/>
              <w:r w:rsidRPr="00C81DF9">
                <w:t xml:space="preserve">, R. A. (2018). Perceptions of the efficacy of prayer and conventional medicine for health concerns. </w:t>
              </w:r>
              <w:r w:rsidRPr="00C81DF9">
                <w:rPr>
                  <w:i/>
                  <w:iCs/>
                </w:rPr>
                <w:t>Journal of Religion and Health</w:t>
              </w:r>
              <w:r w:rsidRPr="00C81DF9">
                <w:t xml:space="preserve">, </w:t>
              </w:r>
              <w:r w:rsidRPr="00C81DF9">
                <w:rPr>
                  <w:i/>
                  <w:iCs/>
                </w:rPr>
                <w:t>59</w:t>
              </w:r>
              <w:r w:rsidRPr="00C81DF9">
                <w:t xml:space="preserve">(1), 1–18. https://doi.org/10.1007/s10943-018-0704-1 </w:t>
              </w:r>
            </w:p>
            <w:p w14:paraId="60B0459D" w14:textId="1056229D" w:rsidR="00D55491" w:rsidRPr="00A33273" w:rsidRDefault="00D55491" w:rsidP="00D55491">
              <w:pPr>
                <w:ind w:left="720" w:hanging="720"/>
              </w:pPr>
              <w:proofErr w:type="spellStart"/>
              <w:r w:rsidRPr="00D55491">
                <w:t>Machekanyanga</w:t>
              </w:r>
              <w:proofErr w:type="spellEnd"/>
              <w:r w:rsidRPr="00D55491">
                <w:t xml:space="preserve">, Z., Ndiaye, S., </w:t>
              </w:r>
              <w:proofErr w:type="spellStart"/>
              <w:r w:rsidRPr="00D55491">
                <w:t>Gerede</w:t>
              </w:r>
              <w:proofErr w:type="spellEnd"/>
              <w:r w:rsidRPr="00D55491">
                <w:t xml:space="preserve">, R., </w:t>
              </w:r>
              <w:proofErr w:type="spellStart"/>
              <w:r w:rsidRPr="00D55491">
                <w:t>Chindedza</w:t>
              </w:r>
              <w:proofErr w:type="spellEnd"/>
              <w:r w:rsidRPr="00D55491">
                <w:t xml:space="preserve">, K., </w:t>
              </w:r>
              <w:proofErr w:type="spellStart"/>
              <w:r w:rsidRPr="00D55491">
                <w:t>Chigodo</w:t>
              </w:r>
              <w:proofErr w:type="spellEnd"/>
              <w:r w:rsidRPr="00D55491">
                <w:t xml:space="preserve">, C., </w:t>
              </w:r>
              <w:proofErr w:type="spellStart"/>
              <w:r w:rsidRPr="00D55491">
                <w:t>Shibeshi</w:t>
              </w:r>
              <w:proofErr w:type="spellEnd"/>
              <w:r w:rsidRPr="00D55491">
                <w:t xml:space="preserve">, M. E., Goodson, J., Daniel, F., Zimmerman, L., &amp; Kaiser, R. (2017). Qualitative assessment of vaccination hesitancy among members of the Apostolic Church of Zimbabwe: A case study. </w:t>
              </w:r>
              <w:r w:rsidRPr="00D55491">
                <w:rPr>
                  <w:i/>
                  <w:iCs/>
                </w:rPr>
                <w:t>Journal of Religion and Health</w:t>
              </w:r>
              <w:r w:rsidRPr="00D55491">
                <w:t xml:space="preserve">, </w:t>
              </w:r>
              <w:r w:rsidRPr="00D55491">
                <w:rPr>
                  <w:i/>
                  <w:iCs/>
                </w:rPr>
                <w:t>56</w:t>
              </w:r>
              <w:r w:rsidRPr="00D55491">
                <w:t xml:space="preserve">(5), 1683–1691. https://doi.org/10.1007/s10943-017-0428-7 </w:t>
              </w:r>
            </w:p>
            <w:p w14:paraId="124BE729" w14:textId="77777777" w:rsidR="0026795F" w:rsidRDefault="0026795F" w:rsidP="0026795F">
              <w:pPr>
                <w:pStyle w:val="Bibliography"/>
                <w:rPr>
                  <w:noProof/>
                </w:rPr>
              </w:pPr>
              <w:r w:rsidRPr="0026795F">
                <w:rPr>
                  <w:noProof/>
                </w:rPr>
                <w:t xml:space="preserve">North Carolina Institute of Medicine. (2021, February 12). </w:t>
              </w:r>
              <w:r w:rsidRPr="0026795F">
                <w:rPr>
                  <w:i/>
                  <w:iCs/>
                  <w:noProof/>
                </w:rPr>
                <w:t>Robeson County</w:t>
              </w:r>
              <w:r w:rsidRPr="0026795F">
                <w:rPr>
                  <w:noProof/>
                </w:rPr>
                <w:t xml:space="preserve">. North Carolina Health Profile. Retrieved March 10, 2022, from https://nciom.org/counties/robeson-county/ </w:t>
              </w:r>
            </w:p>
            <w:p w14:paraId="7B63FFCF" w14:textId="0DFA5AE6" w:rsidR="00306DBE" w:rsidRDefault="00306DBE" w:rsidP="00306DBE">
              <w:pPr>
                <w:ind w:left="720" w:hanging="720"/>
              </w:pPr>
              <w:r w:rsidRPr="00306DBE">
                <w:t xml:space="preserve">Pesut, B. (2016). There be dragons: Effects of unexplored religion on nurses’ competence in spiritual care. </w:t>
              </w:r>
              <w:r w:rsidRPr="00306DBE">
                <w:rPr>
                  <w:i/>
                  <w:iCs/>
                </w:rPr>
                <w:t>Nursing Inquiry</w:t>
              </w:r>
              <w:r w:rsidRPr="00306DBE">
                <w:t xml:space="preserve">, </w:t>
              </w:r>
              <w:r w:rsidRPr="00306DBE">
                <w:rPr>
                  <w:i/>
                  <w:iCs/>
                </w:rPr>
                <w:t>23</w:t>
              </w:r>
              <w:r w:rsidRPr="00306DBE">
                <w:t xml:space="preserve">(3), 191–199. </w:t>
              </w:r>
              <w:hyperlink r:id="rId12" w:history="1">
                <w:r w:rsidR="00E25B3C" w:rsidRPr="003A205B">
                  <w:rPr>
                    <w:rStyle w:val="Hyperlink"/>
                  </w:rPr>
                  <w:t>https://doi.org/10.1111/nin.12135</w:t>
                </w:r>
              </w:hyperlink>
              <w:r w:rsidRPr="00306DBE">
                <w:t xml:space="preserve"> </w:t>
              </w:r>
            </w:p>
            <w:p w14:paraId="7B949A5C" w14:textId="6236854F" w:rsidR="00E25B3C" w:rsidRPr="00932ABC" w:rsidRDefault="00932ABC" w:rsidP="00306DBE">
              <w:pPr>
                <w:ind w:left="720" w:hanging="720"/>
              </w:pPr>
              <w:proofErr w:type="spellStart"/>
              <w:r>
                <w:lastRenderedPageBreak/>
                <w:t>Rief</w:t>
              </w:r>
              <w:proofErr w:type="spellEnd"/>
              <w:r>
                <w:t xml:space="preserve">, W. (2021). Fear of adverse effects and COVID-19 vaccine hesitancy: Recommendations of the treatment expectation expert. </w:t>
              </w:r>
              <w:r>
                <w:rPr>
                  <w:i/>
                  <w:iCs/>
                </w:rPr>
                <w:t>JAMA Health Forum</w:t>
              </w:r>
              <w:r>
                <w:t xml:space="preserve">, </w:t>
              </w:r>
              <w:r>
                <w:rPr>
                  <w:i/>
                  <w:iCs/>
                </w:rPr>
                <w:t>2</w:t>
              </w:r>
              <w:r>
                <w:t>(4), e</w:t>
              </w:r>
              <w:r w:rsidR="00D229CC">
                <w:t>210804. DOI: 10.1001/jamahealthforum.2021.0804</w:t>
              </w:r>
            </w:p>
            <w:p w14:paraId="07645223" w14:textId="77777777" w:rsidR="00401511" w:rsidRDefault="00965F09" w:rsidP="00401511">
              <w:pPr>
                <w:ind w:left="720" w:hanging="720"/>
              </w:pPr>
              <w:r w:rsidRPr="00965F09">
                <w:t xml:space="preserve">World Health Organization. (2022, April 14). </w:t>
              </w:r>
              <w:r w:rsidRPr="00965F09">
                <w:rPr>
                  <w:i/>
                  <w:iCs/>
                </w:rPr>
                <w:t>United States of America: Who coronavirus disease (covid-19) dashboard with vaccination data</w:t>
              </w:r>
              <w:r w:rsidRPr="00965F09">
                <w:t xml:space="preserve">. World Health Organization. Retrieved April 18, 2022, from </w:t>
              </w:r>
              <w:hyperlink r:id="rId13" w:history="1">
                <w:r w:rsidR="00401511" w:rsidRPr="000C543B">
                  <w:rPr>
                    <w:rStyle w:val="Hyperlink"/>
                  </w:rPr>
                  <w:t>https://covid19.who.int/region/amro/country/us</w:t>
                </w:r>
              </w:hyperlink>
            </w:p>
            <w:p w14:paraId="3D603CDD" w14:textId="0EE45D65" w:rsidR="005750B8" w:rsidRDefault="00401511" w:rsidP="005750B8">
              <w:pPr>
                <w:ind w:left="720" w:hanging="720"/>
              </w:pPr>
              <w:r w:rsidRPr="00401511">
                <w:t xml:space="preserve">Wu, L.-F., Tseng, H.-C., &amp; Liao, Y.-C. (2016). Nurse Education and willingness to provide spiritual care. </w:t>
              </w:r>
              <w:r w:rsidRPr="00401511">
                <w:rPr>
                  <w:i/>
                  <w:iCs/>
                </w:rPr>
                <w:t>Nurse Education Today</w:t>
              </w:r>
              <w:r w:rsidRPr="00401511">
                <w:t xml:space="preserve">, </w:t>
              </w:r>
              <w:r w:rsidRPr="00401511">
                <w:rPr>
                  <w:i/>
                  <w:iCs/>
                </w:rPr>
                <w:t>38</w:t>
              </w:r>
              <w:r w:rsidRPr="00401511">
                <w:t xml:space="preserve">, 36–41. </w:t>
              </w:r>
              <w:hyperlink r:id="rId14" w:history="1">
                <w:r w:rsidR="005750B8" w:rsidRPr="00401511">
                  <w:rPr>
                    <w:rStyle w:val="Hyperlink"/>
                  </w:rPr>
                  <w:t>https://doi.org/10.1016/j.nedt.2016.01.001</w:t>
                </w:r>
              </w:hyperlink>
            </w:p>
            <w:p w14:paraId="55716B24" w14:textId="65CE7B62" w:rsidR="00965F09" w:rsidRPr="00965F09" w:rsidRDefault="00965F09" w:rsidP="005750B8">
              <w:pPr>
                <w:ind w:left="720" w:hanging="720"/>
              </w:pPr>
              <w:r w:rsidRPr="00965F09">
                <w:t xml:space="preserve"> </w:t>
              </w:r>
            </w:p>
            <w:p w14:paraId="799D43DB" w14:textId="77777777" w:rsidR="00965F09" w:rsidRPr="00965F09" w:rsidRDefault="00965F09" w:rsidP="00965F09">
              <w:pPr>
                <w:ind w:firstLine="0"/>
              </w:pPr>
            </w:p>
            <w:p w14:paraId="61A1A5FF" w14:textId="1C861321" w:rsidR="00097169" w:rsidRDefault="00097169" w:rsidP="00097169">
              <w:pPr>
                <w:pStyle w:val="Bibliography"/>
                <w:rPr>
                  <w:noProof/>
                </w:rPr>
              </w:pPr>
            </w:p>
            <w:p w14:paraId="116A1C4E" w14:textId="4FEBE0CB" w:rsidR="00097169" w:rsidRDefault="00097169" w:rsidP="004509BB">
              <w:pPr>
                <w:pStyle w:val="Bibliography"/>
                <w:ind w:left="0" w:firstLine="0"/>
              </w:pPr>
            </w:p>
            <w:p w14:paraId="5F7B5EF2" w14:textId="5984908D" w:rsidR="00EB2395" w:rsidRDefault="00F8600D" w:rsidP="00170FDA"/>
          </w:sdtContent>
        </w:sdt>
      </w:sdtContent>
    </w:sdt>
    <w:p w14:paraId="4DAA4D02" w14:textId="77777777" w:rsidR="00EB2395" w:rsidRDefault="00EB2395">
      <w:r>
        <w:br w:type="page"/>
      </w:r>
    </w:p>
    <w:p w14:paraId="6185B20F" w14:textId="77777777" w:rsidR="00C8512A" w:rsidRDefault="00C8512A"/>
    <w:p w14:paraId="44610834" w14:textId="3F43F822" w:rsidR="00170FDA" w:rsidRDefault="005363BA" w:rsidP="005363BA">
      <w:pPr>
        <w:jc w:val="center"/>
        <w:rPr>
          <w:b/>
          <w:bCs/>
        </w:rPr>
      </w:pPr>
      <w:r>
        <w:rPr>
          <w:b/>
          <w:bCs/>
        </w:rPr>
        <w:t>Appendix A</w:t>
      </w:r>
    </w:p>
    <w:tbl>
      <w:tblPr>
        <w:tblStyle w:val="TableGrid"/>
        <w:tblW w:w="0" w:type="auto"/>
        <w:tblLook w:val="04A0" w:firstRow="1" w:lastRow="0" w:firstColumn="1" w:lastColumn="0" w:noHBand="0" w:noVBand="1"/>
      </w:tblPr>
      <w:tblGrid>
        <w:gridCol w:w="535"/>
        <w:gridCol w:w="3510"/>
        <w:gridCol w:w="1080"/>
        <w:gridCol w:w="540"/>
        <w:gridCol w:w="3685"/>
      </w:tblGrid>
      <w:tr w:rsidR="00171A7C" w14:paraId="5E05563A" w14:textId="77777777" w:rsidTr="00E23625">
        <w:tc>
          <w:tcPr>
            <w:tcW w:w="9350" w:type="dxa"/>
            <w:gridSpan w:val="5"/>
          </w:tcPr>
          <w:p w14:paraId="1EF95382" w14:textId="77777777" w:rsidR="00171A7C" w:rsidRDefault="00171A7C" w:rsidP="00E23625">
            <w:pPr>
              <w:ind w:firstLine="0"/>
              <w:jc w:val="center"/>
            </w:pPr>
            <w:r w:rsidRPr="00F0681E">
              <w:rPr>
                <w:b/>
                <w:bCs/>
              </w:rPr>
              <w:t>Screening:</w:t>
            </w:r>
            <w:r>
              <w:t xml:space="preserve"> Participants will remain in their cars; they will be screened (temperature check &amp; COVID Signs &amp; Symptoms Checklist). Participants with a positive screen will move through Pathway A. Participants with a negative screen will move through Pathway B.</w:t>
            </w:r>
          </w:p>
        </w:tc>
      </w:tr>
      <w:tr w:rsidR="00171A7C" w14:paraId="2710963C" w14:textId="77777777" w:rsidTr="00E23625">
        <w:tc>
          <w:tcPr>
            <w:tcW w:w="4045" w:type="dxa"/>
            <w:gridSpan w:val="2"/>
          </w:tcPr>
          <w:p w14:paraId="0DC9CB29" w14:textId="77777777" w:rsidR="00171A7C" w:rsidRPr="00A63948" w:rsidRDefault="00171A7C" w:rsidP="00E23625">
            <w:pPr>
              <w:ind w:firstLine="0"/>
              <w:jc w:val="center"/>
              <w:rPr>
                <w:b/>
                <w:bCs/>
              </w:rPr>
            </w:pPr>
            <w:r w:rsidRPr="00A63948">
              <w:rPr>
                <w:b/>
                <w:bCs/>
              </w:rPr>
              <w:t>Pathway A</w:t>
            </w:r>
          </w:p>
        </w:tc>
        <w:tc>
          <w:tcPr>
            <w:tcW w:w="1080" w:type="dxa"/>
            <w:tcBorders>
              <w:bottom w:val="nil"/>
            </w:tcBorders>
          </w:tcPr>
          <w:p w14:paraId="1183A071" w14:textId="77777777" w:rsidR="00171A7C" w:rsidRDefault="00171A7C" w:rsidP="00E23625">
            <w:pPr>
              <w:ind w:firstLine="0"/>
            </w:pPr>
          </w:p>
        </w:tc>
        <w:tc>
          <w:tcPr>
            <w:tcW w:w="4225" w:type="dxa"/>
            <w:gridSpan w:val="2"/>
          </w:tcPr>
          <w:p w14:paraId="01AEB98A" w14:textId="77777777" w:rsidR="00171A7C" w:rsidRPr="00A63948" w:rsidRDefault="00171A7C" w:rsidP="00E23625">
            <w:pPr>
              <w:ind w:firstLine="0"/>
              <w:jc w:val="center"/>
              <w:rPr>
                <w:b/>
                <w:bCs/>
              </w:rPr>
            </w:pPr>
            <w:r w:rsidRPr="00A63948">
              <w:rPr>
                <w:b/>
                <w:bCs/>
              </w:rPr>
              <w:t>Pathway B</w:t>
            </w:r>
          </w:p>
        </w:tc>
      </w:tr>
      <w:tr w:rsidR="00171A7C" w14:paraId="1159E2DD" w14:textId="77777777" w:rsidTr="00E23625">
        <w:tc>
          <w:tcPr>
            <w:tcW w:w="535" w:type="dxa"/>
          </w:tcPr>
          <w:p w14:paraId="426050FE" w14:textId="77777777" w:rsidR="00171A7C" w:rsidRPr="00A63948" w:rsidRDefault="00171A7C" w:rsidP="00E23625">
            <w:pPr>
              <w:ind w:firstLine="0"/>
              <w:jc w:val="right"/>
              <w:rPr>
                <w:b/>
                <w:bCs/>
              </w:rPr>
            </w:pPr>
            <w:r w:rsidRPr="00A63948">
              <w:rPr>
                <w:b/>
                <w:bCs/>
              </w:rPr>
              <w:t>1</w:t>
            </w:r>
          </w:p>
        </w:tc>
        <w:tc>
          <w:tcPr>
            <w:tcW w:w="3510" w:type="dxa"/>
          </w:tcPr>
          <w:p w14:paraId="040FFEE9" w14:textId="77777777" w:rsidR="00171A7C" w:rsidRDefault="00171A7C" w:rsidP="00E23625">
            <w:pPr>
              <w:ind w:firstLine="0"/>
            </w:pPr>
            <w:r>
              <w:t xml:space="preserve">(a) Remain car; Register in </w:t>
            </w:r>
            <w:proofErr w:type="spellStart"/>
            <w:r>
              <w:t>REDcap</w:t>
            </w:r>
            <w:proofErr w:type="spellEnd"/>
            <w:r>
              <w:t xml:space="preserve"> System; Receive PPE &amp; Register in the </w:t>
            </w:r>
            <w:proofErr w:type="spellStart"/>
            <w:r>
              <w:t>REDcap</w:t>
            </w:r>
            <w:proofErr w:type="spellEnd"/>
            <w:r>
              <w:t xml:space="preserve"> System</w:t>
            </w:r>
          </w:p>
        </w:tc>
        <w:tc>
          <w:tcPr>
            <w:tcW w:w="1080" w:type="dxa"/>
            <w:tcBorders>
              <w:top w:val="nil"/>
              <w:bottom w:val="nil"/>
            </w:tcBorders>
          </w:tcPr>
          <w:p w14:paraId="74B2F3ED" w14:textId="77777777" w:rsidR="00171A7C" w:rsidRDefault="00171A7C" w:rsidP="00E23625">
            <w:pPr>
              <w:ind w:firstLine="0"/>
            </w:pPr>
          </w:p>
        </w:tc>
        <w:tc>
          <w:tcPr>
            <w:tcW w:w="540" w:type="dxa"/>
          </w:tcPr>
          <w:p w14:paraId="1044CFA6" w14:textId="77777777" w:rsidR="00171A7C" w:rsidRPr="00A63948" w:rsidRDefault="00171A7C" w:rsidP="00E23625">
            <w:pPr>
              <w:ind w:firstLine="0"/>
              <w:jc w:val="right"/>
              <w:rPr>
                <w:b/>
                <w:bCs/>
              </w:rPr>
            </w:pPr>
            <w:r w:rsidRPr="00A63948">
              <w:rPr>
                <w:b/>
                <w:bCs/>
              </w:rPr>
              <w:t>1</w:t>
            </w:r>
          </w:p>
        </w:tc>
        <w:tc>
          <w:tcPr>
            <w:tcW w:w="3685" w:type="dxa"/>
          </w:tcPr>
          <w:p w14:paraId="3ADED338" w14:textId="77777777" w:rsidR="00171A7C" w:rsidRDefault="00171A7C" w:rsidP="00E23625">
            <w:pPr>
              <w:ind w:firstLine="0"/>
            </w:pPr>
            <w:r>
              <w:t>(a) Park car; (b) Approach Registration Tent, (c) Receive PPE &amp; (d) Register in the CareLink [EPIC] System</w:t>
            </w:r>
          </w:p>
        </w:tc>
      </w:tr>
      <w:tr w:rsidR="00171A7C" w14:paraId="05B8550D" w14:textId="77777777" w:rsidTr="00E23625">
        <w:tc>
          <w:tcPr>
            <w:tcW w:w="535" w:type="dxa"/>
          </w:tcPr>
          <w:p w14:paraId="4060F1C1" w14:textId="77777777" w:rsidR="00171A7C" w:rsidRPr="00A63948" w:rsidRDefault="00171A7C" w:rsidP="00E23625">
            <w:pPr>
              <w:ind w:firstLine="0"/>
              <w:jc w:val="right"/>
              <w:rPr>
                <w:b/>
                <w:bCs/>
              </w:rPr>
            </w:pPr>
            <w:r w:rsidRPr="00A63948">
              <w:rPr>
                <w:b/>
                <w:bCs/>
              </w:rPr>
              <w:t>2</w:t>
            </w:r>
          </w:p>
        </w:tc>
        <w:tc>
          <w:tcPr>
            <w:tcW w:w="3510" w:type="dxa"/>
          </w:tcPr>
          <w:p w14:paraId="62275F2A" w14:textId="77777777" w:rsidR="00171A7C" w:rsidRDefault="00171A7C" w:rsidP="00E23625">
            <w:pPr>
              <w:ind w:firstLine="0"/>
            </w:pPr>
            <w:r>
              <w:t>Provide a buccal swab test kit and instruct participant on its use. Participant will perform swab procedure while being observed by study personnel. Completed sample will be placed in a sealed bag and returned to study personnel.</w:t>
            </w:r>
          </w:p>
        </w:tc>
        <w:tc>
          <w:tcPr>
            <w:tcW w:w="1080" w:type="dxa"/>
            <w:tcBorders>
              <w:top w:val="nil"/>
              <w:bottom w:val="nil"/>
            </w:tcBorders>
          </w:tcPr>
          <w:p w14:paraId="1B7AB73C" w14:textId="77777777" w:rsidR="00171A7C" w:rsidRDefault="00171A7C" w:rsidP="00E23625">
            <w:pPr>
              <w:ind w:firstLine="0"/>
            </w:pPr>
          </w:p>
        </w:tc>
        <w:tc>
          <w:tcPr>
            <w:tcW w:w="540" w:type="dxa"/>
          </w:tcPr>
          <w:p w14:paraId="4DD43EA1" w14:textId="77777777" w:rsidR="00171A7C" w:rsidRPr="00A63948" w:rsidRDefault="00171A7C" w:rsidP="00E23625">
            <w:pPr>
              <w:ind w:firstLine="0"/>
              <w:jc w:val="right"/>
              <w:rPr>
                <w:b/>
                <w:bCs/>
              </w:rPr>
            </w:pPr>
            <w:r w:rsidRPr="00A63948">
              <w:rPr>
                <w:b/>
                <w:bCs/>
              </w:rPr>
              <w:t>2</w:t>
            </w:r>
          </w:p>
        </w:tc>
        <w:tc>
          <w:tcPr>
            <w:tcW w:w="3685" w:type="dxa"/>
          </w:tcPr>
          <w:p w14:paraId="62738B6A" w14:textId="77777777" w:rsidR="00171A7C" w:rsidRDefault="00171A7C" w:rsidP="00E23625">
            <w:pPr>
              <w:ind w:firstLine="0"/>
            </w:pPr>
            <w:r>
              <w:t>Move to Waiting Area B; Obtain Vital Signs &amp; Brief Health History</w:t>
            </w:r>
          </w:p>
        </w:tc>
      </w:tr>
      <w:tr w:rsidR="00171A7C" w14:paraId="151398EB" w14:textId="77777777" w:rsidTr="00E23625">
        <w:tc>
          <w:tcPr>
            <w:tcW w:w="535" w:type="dxa"/>
          </w:tcPr>
          <w:p w14:paraId="0BA38AA6" w14:textId="77777777" w:rsidR="00171A7C" w:rsidRPr="00A63948" w:rsidRDefault="00171A7C" w:rsidP="00E23625">
            <w:pPr>
              <w:ind w:firstLine="0"/>
              <w:jc w:val="right"/>
              <w:rPr>
                <w:b/>
                <w:bCs/>
              </w:rPr>
            </w:pPr>
            <w:r w:rsidRPr="00A63948">
              <w:rPr>
                <w:b/>
                <w:bCs/>
              </w:rPr>
              <w:t>3</w:t>
            </w:r>
          </w:p>
        </w:tc>
        <w:tc>
          <w:tcPr>
            <w:tcW w:w="3510" w:type="dxa"/>
          </w:tcPr>
          <w:p w14:paraId="1C0ABB41" w14:textId="77777777" w:rsidR="00171A7C" w:rsidRDefault="00171A7C" w:rsidP="00E23625">
            <w:pPr>
              <w:ind w:firstLine="0"/>
            </w:pPr>
            <w:r>
              <w:t>Provide patient education regarding self-care and self-quarantine activities</w:t>
            </w:r>
          </w:p>
        </w:tc>
        <w:tc>
          <w:tcPr>
            <w:tcW w:w="1080" w:type="dxa"/>
            <w:tcBorders>
              <w:top w:val="nil"/>
              <w:bottom w:val="nil"/>
            </w:tcBorders>
          </w:tcPr>
          <w:p w14:paraId="62BE61E3" w14:textId="77777777" w:rsidR="00171A7C" w:rsidRDefault="00171A7C" w:rsidP="00E23625">
            <w:pPr>
              <w:ind w:firstLine="0"/>
            </w:pPr>
          </w:p>
        </w:tc>
        <w:tc>
          <w:tcPr>
            <w:tcW w:w="540" w:type="dxa"/>
          </w:tcPr>
          <w:p w14:paraId="3CBE20ED" w14:textId="77777777" w:rsidR="00171A7C" w:rsidRPr="00A63948" w:rsidRDefault="00171A7C" w:rsidP="00E23625">
            <w:pPr>
              <w:ind w:firstLine="0"/>
              <w:jc w:val="right"/>
              <w:rPr>
                <w:b/>
                <w:bCs/>
              </w:rPr>
            </w:pPr>
            <w:r w:rsidRPr="00A63948">
              <w:rPr>
                <w:b/>
                <w:bCs/>
              </w:rPr>
              <w:t>3</w:t>
            </w:r>
          </w:p>
        </w:tc>
        <w:tc>
          <w:tcPr>
            <w:tcW w:w="3685" w:type="dxa"/>
          </w:tcPr>
          <w:p w14:paraId="6501E74E" w14:textId="77777777" w:rsidR="00171A7C" w:rsidRDefault="00171A7C" w:rsidP="00E23625">
            <w:pPr>
              <w:ind w:firstLine="0"/>
            </w:pPr>
            <w:r>
              <w:t>Move to Serology Station for COVID-19 Antibody Test</w:t>
            </w:r>
          </w:p>
        </w:tc>
      </w:tr>
      <w:tr w:rsidR="00171A7C" w14:paraId="1D29052F" w14:textId="77777777" w:rsidTr="00E23625">
        <w:tc>
          <w:tcPr>
            <w:tcW w:w="535" w:type="dxa"/>
          </w:tcPr>
          <w:p w14:paraId="2BDE3355" w14:textId="77777777" w:rsidR="00171A7C" w:rsidRPr="00A63948" w:rsidRDefault="00171A7C" w:rsidP="00E23625">
            <w:pPr>
              <w:ind w:firstLine="0"/>
              <w:jc w:val="right"/>
              <w:rPr>
                <w:b/>
                <w:bCs/>
              </w:rPr>
            </w:pPr>
            <w:r w:rsidRPr="00A63948">
              <w:rPr>
                <w:b/>
                <w:bCs/>
              </w:rPr>
              <w:t>4</w:t>
            </w:r>
          </w:p>
        </w:tc>
        <w:tc>
          <w:tcPr>
            <w:tcW w:w="3510" w:type="dxa"/>
          </w:tcPr>
          <w:p w14:paraId="0664140E" w14:textId="77777777" w:rsidR="00171A7C" w:rsidRDefault="00171A7C" w:rsidP="00E23625">
            <w:pPr>
              <w:ind w:firstLine="0"/>
            </w:pPr>
            <w:r>
              <w:t>Return home with self-quarantine instructions</w:t>
            </w:r>
          </w:p>
        </w:tc>
        <w:tc>
          <w:tcPr>
            <w:tcW w:w="1080" w:type="dxa"/>
            <w:tcBorders>
              <w:top w:val="nil"/>
              <w:bottom w:val="nil"/>
            </w:tcBorders>
          </w:tcPr>
          <w:p w14:paraId="48621E33" w14:textId="77777777" w:rsidR="00171A7C" w:rsidRDefault="00171A7C" w:rsidP="00E23625">
            <w:pPr>
              <w:ind w:firstLine="0"/>
            </w:pPr>
          </w:p>
        </w:tc>
        <w:tc>
          <w:tcPr>
            <w:tcW w:w="540" w:type="dxa"/>
          </w:tcPr>
          <w:p w14:paraId="772D5E72" w14:textId="77777777" w:rsidR="00171A7C" w:rsidRPr="00A63948" w:rsidRDefault="00171A7C" w:rsidP="00E23625">
            <w:pPr>
              <w:ind w:firstLine="0"/>
              <w:jc w:val="right"/>
              <w:rPr>
                <w:b/>
                <w:bCs/>
              </w:rPr>
            </w:pPr>
            <w:r w:rsidRPr="00A63948">
              <w:rPr>
                <w:b/>
                <w:bCs/>
              </w:rPr>
              <w:t>4</w:t>
            </w:r>
          </w:p>
        </w:tc>
        <w:tc>
          <w:tcPr>
            <w:tcW w:w="3685" w:type="dxa"/>
          </w:tcPr>
          <w:p w14:paraId="228D260A" w14:textId="77777777" w:rsidR="00171A7C" w:rsidRDefault="00171A7C" w:rsidP="00E23625">
            <w:pPr>
              <w:ind w:firstLine="0"/>
            </w:pPr>
            <w:r>
              <w:t>Move to Waiting Area B;</w:t>
            </w:r>
          </w:p>
          <w:p w14:paraId="1BF91365" w14:textId="77777777" w:rsidR="00171A7C" w:rsidRDefault="00171A7C" w:rsidP="00E23625">
            <w:pPr>
              <w:pStyle w:val="ListParagraph"/>
              <w:numPr>
                <w:ilvl w:val="0"/>
                <w:numId w:val="18"/>
              </w:numPr>
            </w:pPr>
            <w:r>
              <w:t xml:space="preserve">Randomly selected individuals will be asked to complete a brief survey in </w:t>
            </w:r>
            <w:proofErr w:type="spellStart"/>
            <w:r>
              <w:t>REDcap</w:t>
            </w:r>
            <w:proofErr w:type="spellEnd"/>
            <w:r>
              <w:t xml:space="preserve"> (during first serology testing period only)</w:t>
            </w:r>
          </w:p>
          <w:p w14:paraId="3D69C14A" w14:textId="77777777" w:rsidR="00171A7C" w:rsidRDefault="00171A7C" w:rsidP="00E23625">
            <w:pPr>
              <w:pStyle w:val="ListParagraph"/>
              <w:numPr>
                <w:ilvl w:val="0"/>
                <w:numId w:val="18"/>
              </w:numPr>
            </w:pPr>
            <w:r>
              <w:t>All individuals will be provided with education regarding self-care activities and a snack and be observed for 5-10 minutes</w:t>
            </w:r>
          </w:p>
        </w:tc>
      </w:tr>
      <w:tr w:rsidR="00171A7C" w14:paraId="1DDDFDA7" w14:textId="77777777" w:rsidTr="00E23625">
        <w:tc>
          <w:tcPr>
            <w:tcW w:w="535" w:type="dxa"/>
          </w:tcPr>
          <w:p w14:paraId="49B8929F" w14:textId="77777777" w:rsidR="00171A7C" w:rsidRPr="00A63948" w:rsidRDefault="00171A7C" w:rsidP="00E23625">
            <w:pPr>
              <w:ind w:firstLine="0"/>
              <w:jc w:val="right"/>
              <w:rPr>
                <w:b/>
                <w:bCs/>
              </w:rPr>
            </w:pPr>
            <w:r w:rsidRPr="00A63948">
              <w:rPr>
                <w:b/>
                <w:bCs/>
              </w:rPr>
              <w:t>5</w:t>
            </w:r>
          </w:p>
        </w:tc>
        <w:tc>
          <w:tcPr>
            <w:tcW w:w="3510" w:type="dxa"/>
          </w:tcPr>
          <w:p w14:paraId="48DDC098" w14:textId="77777777" w:rsidR="00171A7C" w:rsidRDefault="00171A7C" w:rsidP="00E23625">
            <w:pPr>
              <w:ind w:firstLine="0"/>
            </w:pPr>
            <w:r>
              <w:t>Be notified via a phone call by a health care practitioner associated with the study of test results &amp; receive education on self-monitoring activities and follow-up care if needed</w:t>
            </w:r>
          </w:p>
        </w:tc>
        <w:tc>
          <w:tcPr>
            <w:tcW w:w="1080" w:type="dxa"/>
            <w:tcBorders>
              <w:top w:val="nil"/>
              <w:bottom w:val="nil"/>
            </w:tcBorders>
          </w:tcPr>
          <w:p w14:paraId="7E325118" w14:textId="77777777" w:rsidR="00171A7C" w:rsidRDefault="00171A7C" w:rsidP="00E23625">
            <w:pPr>
              <w:ind w:firstLine="0"/>
            </w:pPr>
          </w:p>
        </w:tc>
        <w:tc>
          <w:tcPr>
            <w:tcW w:w="540" w:type="dxa"/>
          </w:tcPr>
          <w:p w14:paraId="6B5E09AA" w14:textId="77777777" w:rsidR="00171A7C" w:rsidRPr="00A63948" w:rsidRDefault="00171A7C" w:rsidP="00E23625">
            <w:pPr>
              <w:ind w:firstLine="0"/>
              <w:jc w:val="right"/>
              <w:rPr>
                <w:b/>
                <w:bCs/>
              </w:rPr>
            </w:pPr>
            <w:r w:rsidRPr="00A63948">
              <w:rPr>
                <w:b/>
                <w:bCs/>
              </w:rPr>
              <w:t>5</w:t>
            </w:r>
          </w:p>
        </w:tc>
        <w:tc>
          <w:tcPr>
            <w:tcW w:w="3685" w:type="dxa"/>
          </w:tcPr>
          <w:p w14:paraId="11A5BA05" w14:textId="77777777" w:rsidR="00171A7C" w:rsidRDefault="00171A7C" w:rsidP="00E23625">
            <w:pPr>
              <w:ind w:firstLine="0"/>
            </w:pPr>
            <w:r>
              <w:t>Return home</w:t>
            </w:r>
          </w:p>
        </w:tc>
      </w:tr>
      <w:tr w:rsidR="00171A7C" w14:paraId="7483CCAF" w14:textId="77777777" w:rsidTr="00E23625">
        <w:tc>
          <w:tcPr>
            <w:tcW w:w="535" w:type="dxa"/>
          </w:tcPr>
          <w:p w14:paraId="6858AD1B" w14:textId="77777777" w:rsidR="00171A7C" w:rsidRDefault="00171A7C" w:rsidP="00E23625">
            <w:pPr>
              <w:ind w:firstLine="0"/>
            </w:pPr>
          </w:p>
        </w:tc>
        <w:tc>
          <w:tcPr>
            <w:tcW w:w="3510" w:type="dxa"/>
          </w:tcPr>
          <w:p w14:paraId="2CF5E2EA" w14:textId="77777777" w:rsidR="00171A7C" w:rsidRDefault="00171A7C" w:rsidP="00E23625">
            <w:pPr>
              <w:ind w:firstLine="0"/>
            </w:pPr>
          </w:p>
        </w:tc>
        <w:tc>
          <w:tcPr>
            <w:tcW w:w="1080" w:type="dxa"/>
            <w:tcBorders>
              <w:top w:val="nil"/>
            </w:tcBorders>
          </w:tcPr>
          <w:p w14:paraId="700EF961" w14:textId="77777777" w:rsidR="00171A7C" w:rsidRDefault="00171A7C" w:rsidP="00E23625">
            <w:pPr>
              <w:ind w:firstLine="0"/>
            </w:pPr>
          </w:p>
        </w:tc>
        <w:tc>
          <w:tcPr>
            <w:tcW w:w="540" w:type="dxa"/>
          </w:tcPr>
          <w:p w14:paraId="0981FE4B" w14:textId="77777777" w:rsidR="00171A7C" w:rsidRPr="00A63948" w:rsidRDefault="00171A7C" w:rsidP="00E23625">
            <w:pPr>
              <w:ind w:firstLine="0"/>
              <w:jc w:val="right"/>
              <w:rPr>
                <w:b/>
                <w:bCs/>
              </w:rPr>
            </w:pPr>
            <w:r w:rsidRPr="00A63948">
              <w:rPr>
                <w:b/>
                <w:bCs/>
              </w:rPr>
              <w:t>6</w:t>
            </w:r>
          </w:p>
        </w:tc>
        <w:tc>
          <w:tcPr>
            <w:tcW w:w="3685" w:type="dxa"/>
          </w:tcPr>
          <w:p w14:paraId="5B05470E" w14:textId="77777777" w:rsidR="00171A7C" w:rsidRDefault="00171A7C" w:rsidP="00E23625">
            <w:pPr>
              <w:ind w:firstLine="0"/>
            </w:pPr>
            <w:r>
              <w:t>Be notified by a health care provider associated with study of test results &amp; receive education on self-monitoring activities and follow-up care if needed</w:t>
            </w:r>
          </w:p>
        </w:tc>
      </w:tr>
    </w:tbl>
    <w:p w14:paraId="5EEFD22C" w14:textId="6E5C4EBE" w:rsidR="00816D5C" w:rsidRDefault="00816D5C" w:rsidP="00C8512A">
      <w:pPr>
        <w:ind w:firstLine="0"/>
        <w:jc w:val="center"/>
        <w:rPr>
          <w:b/>
          <w:bCs/>
        </w:rPr>
      </w:pPr>
      <w:r>
        <w:rPr>
          <w:b/>
          <w:bCs/>
        </w:rPr>
        <w:br w:type="page"/>
      </w:r>
      <w:r w:rsidR="00C8512A">
        <w:rPr>
          <w:b/>
          <w:bCs/>
        </w:rPr>
        <w:lastRenderedPageBreak/>
        <w:t>Appendix B</w:t>
      </w:r>
    </w:p>
    <w:tbl>
      <w:tblPr>
        <w:tblStyle w:val="TableGrid"/>
        <w:tblW w:w="0" w:type="auto"/>
        <w:tblLook w:val="04A0" w:firstRow="1" w:lastRow="0" w:firstColumn="1" w:lastColumn="0" w:noHBand="0" w:noVBand="1"/>
      </w:tblPr>
      <w:tblGrid>
        <w:gridCol w:w="9350"/>
      </w:tblGrid>
      <w:tr w:rsidR="00F56746" w14:paraId="08A66242" w14:textId="77777777" w:rsidTr="005115DA">
        <w:tc>
          <w:tcPr>
            <w:tcW w:w="9350" w:type="dxa"/>
            <w:tcBorders>
              <w:top w:val="nil"/>
              <w:left w:val="nil"/>
              <w:bottom w:val="single" w:sz="18" w:space="0" w:color="969696" w:themeColor="accent3"/>
              <w:right w:val="nil"/>
            </w:tcBorders>
          </w:tcPr>
          <w:p w14:paraId="7830F14F" w14:textId="25E16B8F" w:rsidR="00F56746" w:rsidRPr="00F56746" w:rsidRDefault="00F56746" w:rsidP="00F56746">
            <w:pPr>
              <w:ind w:firstLine="0"/>
              <w:jc w:val="center"/>
              <w:rPr>
                <w:b/>
                <w:bCs/>
              </w:rPr>
            </w:pPr>
            <w:r>
              <w:rPr>
                <w:b/>
                <w:bCs/>
              </w:rPr>
              <w:t>Interview Schedule</w:t>
            </w:r>
          </w:p>
        </w:tc>
      </w:tr>
      <w:tr w:rsidR="009F75C5" w14:paraId="33B2ABB6" w14:textId="77777777" w:rsidTr="005115DA">
        <w:tc>
          <w:tcPr>
            <w:tcW w:w="9350" w:type="dxa"/>
            <w:tcBorders>
              <w:top w:val="single" w:sz="18" w:space="0" w:color="969696" w:themeColor="accent3"/>
              <w:left w:val="nil"/>
              <w:bottom w:val="single" w:sz="18" w:space="0" w:color="969696" w:themeColor="accent3"/>
              <w:right w:val="nil"/>
            </w:tcBorders>
          </w:tcPr>
          <w:p w14:paraId="5E9921CD" w14:textId="2742EB7D" w:rsidR="009F75C5" w:rsidRDefault="009F75C5" w:rsidP="009F75C5">
            <w:pPr>
              <w:ind w:firstLine="0"/>
              <w:rPr>
                <w:b/>
                <w:bCs/>
              </w:rPr>
            </w:pPr>
            <w:r>
              <w:rPr>
                <w:b/>
                <w:bCs/>
              </w:rPr>
              <w:t>Recall</w:t>
            </w:r>
          </w:p>
        </w:tc>
      </w:tr>
      <w:tr w:rsidR="00F56746" w14:paraId="0A894E86" w14:textId="77777777" w:rsidTr="005115DA">
        <w:tc>
          <w:tcPr>
            <w:tcW w:w="9350" w:type="dxa"/>
            <w:tcBorders>
              <w:top w:val="single" w:sz="18" w:space="0" w:color="969696" w:themeColor="accent3"/>
              <w:left w:val="nil"/>
              <w:bottom w:val="single" w:sz="4" w:space="0" w:color="969696" w:themeColor="accent3"/>
              <w:right w:val="nil"/>
            </w:tcBorders>
          </w:tcPr>
          <w:p w14:paraId="72142982" w14:textId="07A47DAE" w:rsidR="00F56746" w:rsidRDefault="00D40EED" w:rsidP="00BD1DBE">
            <w:pPr>
              <w:ind w:firstLine="0"/>
            </w:pPr>
            <w:r>
              <w:t>Do you remember the survey</w:t>
            </w:r>
            <w:r w:rsidR="00C9663A">
              <w:t>?</w:t>
            </w:r>
          </w:p>
        </w:tc>
      </w:tr>
      <w:tr w:rsidR="00F56746" w14:paraId="2C379D60" w14:textId="77777777" w:rsidTr="005115DA">
        <w:tc>
          <w:tcPr>
            <w:tcW w:w="9350" w:type="dxa"/>
            <w:tcBorders>
              <w:top w:val="single" w:sz="4" w:space="0" w:color="969696" w:themeColor="accent3"/>
              <w:left w:val="nil"/>
              <w:bottom w:val="single" w:sz="18" w:space="0" w:color="969696" w:themeColor="accent3"/>
              <w:right w:val="nil"/>
            </w:tcBorders>
          </w:tcPr>
          <w:p w14:paraId="50962C8A" w14:textId="620AFDA1" w:rsidR="00F56746" w:rsidRDefault="00C9663A" w:rsidP="00BD1DBE">
            <w:pPr>
              <w:ind w:firstLine="0"/>
            </w:pPr>
            <w:r>
              <w:t xml:space="preserve">Do you remember how you ranked </w:t>
            </w:r>
            <w:r w:rsidR="00863965">
              <w:t>wearing a facemask</w:t>
            </w:r>
            <w:r w:rsidR="004D4796">
              <w:t xml:space="preserve">? Handwashing? </w:t>
            </w:r>
            <w:r w:rsidR="00863965">
              <w:t>Prayer</w:t>
            </w:r>
            <w:r w:rsidR="004D4796">
              <w:t>?</w:t>
            </w:r>
          </w:p>
        </w:tc>
      </w:tr>
      <w:tr w:rsidR="009F75C5" w14:paraId="44A3C9D3" w14:textId="77777777" w:rsidTr="005115DA">
        <w:tc>
          <w:tcPr>
            <w:tcW w:w="9350" w:type="dxa"/>
            <w:tcBorders>
              <w:top w:val="single" w:sz="18" w:space="0" w:color="969696" w:themeColor="accent3"/>
              <w:left w:val="nil"/>
              <w:bottom w:val="single" w:sz="18" w:space="0" w:color="969696" w:themeColor="accent3"/>
              <w:right w:val="nil"/>
            </w:tcBorders>
          </w:tcPr>
          <w:p w14:paraId="353B727C" w14:textId="0FC2774D" w:rsidR="009F75C5" w:rsidRPr="009F2C9F" w:rsidRDefault="009F2C9F" w:rsidP="00BD1DBE">
            <w:pPr>
              <w:ind w:firstLine="0"/>
              <w:rPr>
                <w:b/>
                <w:bCs/>
              </w:rPr>
            </w:pPr>
            <w:r>
              <w:rPr>
                <w:b/>
                <w:bCs/>
              </w:rPr>
              <w:t>Explanation</w:t>
            </w:r>
          </w:p>
        </w:tc>
      </w:tr>
      <w:tr w:rsidR="00F56746" w14:paraId="64DF3950" w14:textId="77777777" w:rsidTr="005115DA">
        <w:tc>
          <w:tcPr>
            <w:tcW w:w="9350" w:type="dxa"/>
            <w:tcBorders>
              <w:top w:val="single" w:sz="18" w:space="0" w:color="969696" w:themeColor="accent3"/>
              <w:left w:val="nil"/>
              <w:bottom w:val="single" w:sz="4" w:space="0" w:color="969696" w:themeColor="accent3"/>
              <w:right w:val="nil"/>
            </w:tcBorders>
          </w:tcPr>
          <w:p w14:paraId="6C9D2D49" w14:textId="6E68E319" w:rsidR="00863965" w:rsidRDefault="001C1D58" w:rsidP="00BD1DBE">
            <w:pPr>
              <w:ind w:firstLine="0"/>
            </w:pPr>
            <w:r>
              <w:t xml:space="preserve">Tell me about how you scored </w:t>
            </w:r>
            <w:r w:rsidR="00863965">
              <w:t>wearing a facemask</w:t>
            </w:r>
            <w:r w:rsidR="004F39B9">
              <w:t>.</w:t>
            </w:r>
          </w:p>
        </w:tc>
      </w:tr>
      <w:tr w:rsidR="00F56746" w14:paraId="2A5D6E13" w14:textId="77777777" w:rsidTr="005115DA">
        <w:tc>
          <w:tcPr>
            <w:tcW w:w="9350" w:type="dxa"/>
            <w:tcBorders>
              <w:top w:val="single" w:sz="4" w:space="0" w:color="969696" w:themeColor="accent3"/>
              <w:left w:val="nil"/>
              <w:bottom w:val="single" w:sz="4" w:space="0" w:color="969696" w:themeColor="accent3"/>
              <w:right w:val="nil"/>
            </w:tcBorders>
          </w:tcPr>
          <w:p w14:paraId="62A68C33" w14:textId="2DF08C6F" w:rsidR="00F56746" w:rsidRDefault="00863965" w:rsidP="00BD1DBE">
            <w:pPr>
              <w:ind w:firstLine="0"/>
            </w:pPr>
            <w:r>
              <w:t xml:space="preserve">Tell me about how you scored </w:t>
            </w:r>
            <w:r w:rsidR="004F39B9">
              <w:t>handwashing.</w:t>
            </w:r>
          </w:p>
        </w:tc>
      </w:tr>
      <w:tr w:rsidR="00F56746" w14:paraId="1150AFED" w14:textId="77777777" w:rsidTr="005115DA">
        <w:tc>
          <w:tcPr>
            <w:tcW w:w="9350" w:type="dxa"/>
            <w:tcBorders>
              <w:top w:val="single" w:sz="4" w:space="0" w:color="969696" w:themeColor="accent3"/>
              <w:left w:val="nil"/>
              <w:bottom w:val="single" w:sz="4" w:space="0" w:color="969696" w:themeColor="accent3"/>
              <w:right w:val="nil"/>
            </w:tcBorders>
          </w:tcPr>
          <w:p w14:paraId="5D5497CE" w14:textId="26D75DB3" w:rsidR="00F56746" w:rsidRDefault="004F39B9" w:rsidP="00BD1DBE">
            <w:pPr>
              <w:ind w:firstLine="0"/>
            </w:pPr>
            <w:r>
              <w:t>Tell me about how you scored prayer.</w:t>
            </w:r>
          </w:p>
        </w:tc>
      </w:tr>
      <w:tr w:rsidR="00F56746" w14:paraId="5FE4297C" w14:textId="77777777" w:rsidTr="005115DA">
        <w:tc>
          <w:tcPr>
            <w:tcW w:w="9350" w:type="dxa"/>
            <w:tcBorders>
              <w:top w:val="single" w:sz="4" w:space="0" w:color="969696" w:themeColor="accent3"/>
              <w:left w:val="nil"/>
              <w:bottom w:val="single" w:sz="4" w:space="0" w:color="969696" w:themeColor="accent3"/>
              <w:right w:val="nil"/>
            </w:tcBorders>
          </w:tcPr>
          <w:p w14:paraId="5F79D4C3" w14:textId="3C38DC01" w:rsidR="00F56746" w:rsidRDefault="004F39B9" w:rsidP="00BD1DBE">
            <w:pPr>
              <w:ind w:firstLine="0"/>
            </w:pPr>
            <w:r>
              <w:t>How do you use prayer?</w:t>
            </w:r>
          </w:p>
        </w:tc>
      </w:tr>
      <w:tr w:rsidR="004F39B9" w14:paraId="57F63758" w14:textId="77777777" w:rsidTr="005115DA">
        <w:tc>
          <w:tcPr>
            <w:tcW w:w="9350" w:type="dxa"/>
            <w:tcBorders>
              <w:top w:val="single" w:sz="4" w:space="0" w:color="969696" w:themeColor="accent3"/>
              <w:left w:val="nil"/>
              <w:bottom w:val="single" w:sz="4" w:space="0" w:color="969696" w:themeColor="accent3"/>
              <w:right w:val="nil"/>
            </w:tcBorders>
          </w:tcPr>
          <w:p w14:paraId="42126D41" w14:textId="074C9792" w:rsidR="004F39B9" w:rsidRDefault="00900353" w:rsidP="00BD1DBE">
            <w:pPr>
              <w:ind w:firstLine="0"/>
            </w:pPr>
            <w:r>
              <w:t xml:space="preserve">Tell me about how things have changed from the beginning of COVID-19 </w:t>
            </w:r>
            <w:r w:rsidR="005E146D">
              <w:t>to now.</w:t>
            </w:r>
          </w:p>
        </w:tc>
      </w:tr>
      <w:tr w:rsidR="00900353" w14:paraId="3358FB14" w14:textId="77777777" w:rsidTr="005115DA">
        <w:tc>
          <w:tcPr>
            <w:tcW w:w="9350" w:type="dxa"/>
            <w:tcBorders>
              <w:top w:val="single" w:sz="4" w:space="0" w:color="969696" w:themeColor="accent3"/>
              <w:left w:val="nil"/>
              <w:bottom w:val="single" w:sz="4" w:space="0" w:color="969696" w:themeColor="accent3"/>
              <w:right w:val="nil"/>
            </w:tcBorders>
          </w:tcPr>
          <w:p w14:paraId="42EA58AF" w14:textId="5ADFDDCB" w:rsidR="00900353" w:rsidRDefault="005E146D" w:rsidP="00BD1DBE">
            <w:pPr>
              <w:ind w:firstLine="0"/>
            </w:pPr>
            <w:r>
              <w:t>Do you know what a risk assessment is?</w:t>
            </w:r>
          </w:p>
        </w:tc>
      </w:tr>
      <w:tr w:rsidR="00900353" w14:paraId="7936F88A" w14:textId="77777777" w:rsidTr="005115DA">
        <w:tc>
          <w:tcPr>
            <w:tcW w:w="9350" w:type="dxa"/>
            <w:tcBorders>
              <w:top w:val="single" w:sz="4" w:space="0" w:color="969696" w:themeColor="accent3"/>
              <w:left w:val="nil"/>
              <w:bottom w:val="single" w:sz="4" w:space="0" w:color="969696" w:themeColor="accent3"/>
              <w:right w:val="nil"/>
            </w:tcBorders>
          </w:tcPr>
          <w:p w14:paraId="124B98F0" w14:textId="207969CC" w:rsidR="00900353" w:rsidRDefault="005E146D" w:rsidP="00BD1DBE">
            <w:pPr>
              <w:ind w:firstLine="0"/>
            </w:pPr>
            <w:r>
              <w:t>Do you find yourself making risk assessments?</w:t>
            </w:r>
          </w:p>
        </w:tc>
      </w:tr>
      <w:tr w:rsidR="00900353" w14:paraId="2283B3DF" w14:textId="77777777" w:rsidTr="005115DA">
        <w:tc>
          <w:tcPr>
            <w:tcW w:w="9350" w:type="dxa"/>
            <w:tcBorders>
              <w:top w:val="single" w:sz="4" w:space="0" w:color="969696" w:themeColor="accent3"/>
              <w:left w:val="nil"/>
              <w:bottom w:val="single" w:sz="4" w:space="0" w:color="969696" w:themeColor="accent3"/>
              <w:right w:val="nil"/>
            </w:tcBorders>
          </w:tcPr>
          <w:p w14:paraId="3E6ACE93" w14:textId="156DD258" w:rsidR="00900353" w:rsidRDefault="005E146D" w:rsidP="00BD1DBE">
            <w:pPr>
              <w:ind w:firstLine="0"/>
            </w:pPr>
            <w:r>
              <w:t>Tell me about how you make a risk assessment.</w:t>
            </w:r>
          </w:p>
        </w:tc>
      </w:tr>
    </w:tbl>
    <w:p w14:paraId="3F792622" w14:textId="0F861CCF" w:rsidR="00BD1DBE" w:rsidRPr="00C8512A" w:rsidRDefault="00BD1DBE" w:rsidP="00BD1DBE">
      <w:r>
        <w:br w:type="page"/>
      </w:r>
    </w:p>
    <w:p w14:paraId="7BE8E5A6" w14:textId="1E3D207B" w:rsidR="00816D5C" w:rsidRDefault="00816D5C" w:rsidP="00816D5C">
      <w:pPr>
        <w:ind w:firstLine="0"/>
        <w:jc w:val="center"/>
        <w:rPr>
          <w:b/>
          <w:bCs/>
        </w:rPr>
      </w:pPr>
      <w:r>
        <w:rPr>
          <w:b/>
          <w:bCs/>
        </w:rPr>
        <w:lastRenderedPageBreak/>
        <w:t xml:space="preserve">Appendix </w:t>
      </w:r>
      <w:r w:rsidR="00C8512A">
        <w:rPr>
          <w:b/>
          <w:bCs/>
        </w:rPr>
        <w:t>C</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B72231" w14:paraId="6091C59D" w14:textId="77777777" w:rsidTr="00E23625">
        <w:tc>
          <w:tcPr>
            <w:tcW w:w="9350" w:type="dxa"/>
            <w:tcBorders>
              <w:bottom w:val="single" w:sz="18" w:space="0" w:color="969696" w:themeColor="accent3"/>
            </w:tcBorders>
          </w:tcPr>
          <w:p w14:paraId="63C390AA" w14:textId="77777777" w:rsidR="00B72231" w:rsidRPr="00A7067D" w:rsidRDefault="00B72231" w:rsidP="00E23625">
            <w:pPr>
              <w:ind w:left="1080" w:firstLine="0"/>
              <w:jc w:val="center"/>
            </w:pPr>
            <w:r w:rsidRPr="00A7067D">
              <w:rPr>
                <w:b/>
                <w:bCs/>
              </w:rPr>
              <w:t>5C scale measuring psychological antecedents of vaccination</w:t>
            </w:r>
          </w:p>
        </w:tc>
      </w:tr>
      <w:tr w:rsidR="00B72231" w14:paraId="4AFCBF5D" w14:textId="77777777" w:rsidTr="00E23625">
        <w:tc>
          <w:tcPr>
            <w:tcW w:w="9350" w:type="dxa"/>
            <w:tcBorders>
              <w:top w:val="single" w:sz="18" w:space="0" w:color="969696" w:themeColor="accent3"/>
              <w:bottom w:val="single" w:sz="18" w:space="0" w:color="969696" w:themeColor="accent3"/>
            </w:tcBorders>
          </w:tcPr>
          <w:p w14:paraId="5356FB8A" w14:textId="77777777" w:rsidR="00B72231" w:rsidRDefault="00B72231" w:rsidP="00E23625">
            <w:pPr>
              <w:ind w:left="360" w:firstLine="0"/>
            </w:pPr>
            <w:r>
              <w:t xml:space="preserve">Confidence </w:t>
            </w:r>
            <w:r>
              <w:rPr>
                <w:rFonts w:cstheme="minorHAnsi"/>
              </w:rPr>
              <w:t>α</w:t>
            </w:r>
            <w:r>
              <w:t xml:space="preserve"> = .85</w:t>
            </w:r>
          </w:p>
        </w:tc>
      </w:tr>
      <w:tr w:rsidR="00B72231" w14:paraId="68EB5F21" w14:textId="77777777" w:rsidTr="00E23625">
        <w:tc>
          <w:tcPr>
            <w:tcW w:w="9350" w:type="dxa"/>
            <w:tcBorders>
              <w:top w:val="single" w:sz="18" w:space="0" w:color="969696" w:themeColor="accent3"/>
              <w:bottom w:val="single" w:sz="2" w:space="0" w:color="969696" w:themeColor="accent3"/>
            </w:tcBorders>
          </w:tcPr>
          <w:p w14:paraId="5D4631A5" w14:textId="77777777" w:rsidR="00B72231" w:rsidRPr="00D200D2" w:rsidRDefault="00B72231" w:rsidP="00E23625">
            <w:pPr>
              <w:ind w:left="360" w:firstLine="0"/>
              <w:rPr>
                <w:b/>
                <w:bCs/>
              </w:rPr>
            </w:pPr>
            <w:r>
              <w:rPr>
                <w:b/>
                <w:bCs/>
              </w:rPr>
              <w:t>I am completely confident that vaccines are safe.</w:t>
            </w:r>
          </w:p>
        </w:tc>
      </w:tr>
      <w:tr w:rsidR="00B72231" w14:paraId="20421850" w14:textId="77777777" w:rsidTr="00E23625">
        <w:tc>
          <w:tcPr>
            <w:tcW w:w="9350" w:type="dxa"/>
            <w:tcBorders>
              <w:top w:val="single" w:sz="2" w:space="0" w:color="969696" w:themeColor="accent3"/>
            </w:tcBorders>
          </w:tcPr>
          <w:p w14:paraId="28AD6D2D" w14:textId="77777777" w:rsidR="00B72231" w:rsidRDefault="00B72231" w:rsidP="00E23625">
            <w:pPr>
              <w:ind w:left="360" w:firstLine="0"/>
            </w:pPr>
            <w:r>
              <w:t>Vaccinations are effective.</w:t>
            </w:r>
          </w:p>
        </w:tc>
      </w:tr>
      <w:tr w:rsidR="00B72231" w14:paraId="279C47DD" w14:textId="77777777" w:rsidTr="00E23625">
        <w:tc>
          <w:tcPr>
            <w:tcW w:w="9350" w:type="dxa"/>
            <w:tcBorders>
              <w:top w:val="single" w:sz="2" w:space="0" w:color="969696" w:themeColor="accent3"/>
              <w:bottom w:val="single" w:sz="18" w:space="0" w:color="969696" w:themeColor="accent3"/>
            </w:tcBorders>
          </w:tcPr>
          <w:p w14:paraId="22AB7B0C" w14:textId="77777777" w:rsidR="00B72231" w:rsidRDefault="00B72231" w:rsidP="00E23625">
            <w:pPr>
              <w:ind w:left="360" w:firstLine="0"/>
            </w:pPr>
            <w:r>
              <w:t>Regarding vaccines, I am confident that public authorities decide in the best interest of the community.</w:t>
            </w:r>
          </w:p>
        </w:tc>
      </w:tr>
      <w:tr w:rsidR="00B72231" w14:paraId="3D917861" w14:textId="77777777" w:rsidTr="00E23625">
        <w:tc>
          <w:tcPr>
            <w:tcW w:w="9350" w:type="dxa"/>
            <w:tcBorders>
              <w:top w:val="single" w:sz="18" w:space="0" w:color="969696" w:themeColor="accent3"/>
              <w:bottom w:val="single" w:sz="18" w:space="0" w:color="969696" w:themeColor="accent3"/>
            </w:tcBorders>
          </w:tcPr>
          <w:p w14:paraId="317DAE38" w14:textId="77777777" w:rsidR="00B72231" w:rsidRDefault="00B72231" w:rsidP="00E23625">
            <w:pPr>
              <w:ind w:left="360" w:firstLine="0"/>
            </w:pPr>
            <w:r>
              <w:t xml:space="preserve">Complacency </w:t>
            </w:r>
            <w:r>
              <w:rPr>
                <w:rFonts w:cstheme="minorHAnsi"/>
              </w:rPr>
              <w:t>α</w:t>
            </w:r>
            <w:r>
              <w:t xml:space="preserve"> = .76</w:t>
            </w:r>
          </w:p>
        </w:tc>
      </w:tr>
      <w:tr w:rsidR="00B72231" w14:paraId="4947A2A7" w14:textId="77777777" w:rsidTr="00E23625">
        <w:tc>
          <w:tcPr>
            <w:tcW w:w="9350" w:type="dxa"/>
            <w:tcBorders>
              <w:top w:val="single" w:sz="18" w:space="0" w:color="969696" w:themeColor="accent3"/>
              <w:bottom w:val="single" w:sz="2" w:space="0" w:color="969696" w:themeColor="accent3"/>
            </w:tcBorders>
          </w:tcPr>
          <w:p w14:paraId="10C3F982" w14:textId="77777777" w:rsidR="00B72231" w:rsidRPr="00825374" w:rsidRDefault="00B72231" w:rsidP="00E23625">
            <w:pPr>
              <w:ind w:left="360" w:firstLine="0"/>
              <w:rPr>
                <w:b/>
                <w:bCs/>
              </w:rPr>
            </w:pPr>
            <w:r>
              <w:rPr>
                <w:b/>
                <w:bCs/>
              </w:rPr>
              <w:t>Vaccination is unnecessary because vaccine-preventable diseases are not common anymore.</w:t>
            </w:r>
          </w:p>
        </w:tc>
      </w:tr>
      <w:tr w:rsidR="00B72231" w14:paraId="62622EBB" w14:textId="77777777" w:rsidTr="00E23625">
        <w:tc>
          <w:tcPr>
            <w:tcW w:w="9350" w:type="dxa"/>
            <w:tcBorders>
              <w:top w:val="single" w:sz="2" w:space="0" w:color="969696" w:themeColor="accent3"/>
              <w:bottom w:val="single" w:sz="2" w:space="0" w:color="969696" w:themeColor="accent3"/>
            </w:tcBorders>
          </w:tcPr>
          <w:p w14:paraId="5C37C3DF" w14:textId="77777777" w:rsidR="00B72231" w:rsidRDefault="00B72231" w:rsidP="00E23625">
            <w:pPr>
              <w:ind w:left="360" w:firstLine="0"/>
            </w:pPr>
            <w:r>
              <w:t>My immune system is so strong, it also protects me against diseases.</w:t>
            </w:r>
          </w:p>
        </w:tc>
      </w:tr>
      <w:tr w:rsidR="00B72231" w14:paraId="1A62997D" w14:textId="77777777" w:rsidTr="00E23625">
        <w:tc>
          <w:tcPr>
            <w:tcW w:w="9350" w:type="dxa"/>
            <w:tcBorders>
              <w:top w:val="single" w:sz="2" w:space="0" w:color="969696" w:themeColor="accent3"/>
              <w:bottom w:val="single" w:sz="18" w:space="0" w:color="969696" w:themeColor="accent3"/>
            </w:tcBorders>
          </w:tcPr>
          <w:p w14:paraId="6BA7AB46" w14:textId="77777777" w:rsidR="00B72231" w:rsidRDefault="00B72231" w:rsidP="00E23625">
            <w:pPr>
              <w:ind w:left="360" w:firstLine="0"/>
            </w:pPr>
            <w:r>
              <w:t>Vaccine-preventable diseases are not so severe that I should get vaccinated.</w:t>
            </w:r>
          </w:p>
        </w:tc>
      </w:tr>
      <w:tr w:rsidR="00B72231" w14:paraId="4A38A288" w14:textId="77777777" w:rsidTr="00E23625">
        <w:tc>
          <w:tcPr>
            <w:tcW w:w="9350" w:type="dxa"/>
            <w:tcBorders>
              <w:top w:val="single" w:sz="18" w:space="0" w:color="969696" w:themeColor="accent3"/>
              <w:bottom w:val="single" w:sz="18" w:space="0" w:color="969696" w:themeColor="accent3"/>
            </w:tcBorders>
          </w:tcPr>
          <w:p w14:paraId="53A70A07" w14:textId="77777777" w:rsidR="00B72231" w:rsidRDefault="00B72231" w:rsidP="00E23625">
            <w:pPr>
              <w:ind w:left="360" w:firstLine="0"/>
            </w:pPr>
            <w:r>
              <w:t xml:space="preserve">Constraints </w:t>
            </w:r>
            <w:r>
              <w:rPr>
                <w:rFonts w:cstheme="minorHAnsi"/>
              </w:rPr>
              <w:t>α</w:t>
            </w:r>
            <w:r>
              <w:t xml:space="preserve"> = .85</w:t>
            </w:r>
          </w:p>
        </w:tc>
      </w:tr>
      <w:tr w:rsidR="00B72231" w14:paraId="5A0457A9" w14:textId="77777777" w:rsidTr="00E23625">
        <w:tc>
          <w:tcPr>
            <w:tcW w:w="9350" w:type="dxa"/>
            <w:tcBorders>
              <w:top w:val="single" w:sz="18" w:space="0" w:color="969696" w:themeColor="accent3"/>
              <w:bottom w:val="single" w:sz="2" w:space="0" w:color="969696" w:themeColor="accent3"/>
            </w:tcBorders>
          </w:tcPr>
          <w:p w14:paraId="79C01C23" w14:textId="77777777" w:rsidR="00B72231" w:rsidRPr="008B4AB1" w:rsidRDefault="00B72231" w:rsidP="00E23625">
            <w:pPr>
              <w:ind w:left="360" w:firstLine="0"/>
              <w:rPr>
                <w:b/>
                <w:bCs/>
              </w:rPr>
            </w:pPr>
            <w:r>
              <w:rPr>
                <w:b/>
                <w:bCs/>
              </w:rPr>
              <w:t>Everyday stress prevents me from getting vaccinated.</w:t>
            </w:r>
          </w:p>
        </w:tc>
      </w:tr>
      <w:tr w:rsidR="00B72231" w14:paraId="6DE67039" w14:textId="77777777" w:rsidTr="00E23625">
        <w:tc>
          <w:tcPr>
            <w:tcW w:w="9350" w:type="dxa"/>
            <w:tcBorders>
              <w:top w:val="single" w:sz="2" w:space="0" w:color="969696" w:themeColor="accent3"/>
              <w:bottom w:val="single" w:sz="2" w:space="0" w:color="969696" w:themeColor="accent3"/>
            </w:tcBorders>
          </w:tcPr>
          <w:p w14:paraId="73A3CC6D" w14:textId="77777777" w:rsidR="00B72231" w:rsidRDefault="00B72231" w:rsidP="00E23625">
            <w:pPr>
              <w:ind w:left="360" w:firstLine="0"/>
            </w:pPr>
            <w:r>
              <w:t>For me, it is inconvenient to receive vaccinations.</w:t>
            </w:r>
          </w:p>
        </w:tc>
      </w:tr>
      <w:tr w:rsidR="00B72231" w14:paraId="1EFA4FF2" w14:textId="77777777" w:rsidTr="00E23625">
        <w:tc>
          <w:tcPr>
            <w:tcW w:w="9350" w:type="dxa"/>
            <w:tcBorders>
              <w:top w:val="single" w:sz="2" w:space="0" w:color="969696" w:themeColor="accent3"/>
              <w:bottom w:val="single" w:sz="18" w:space="0" w:color="969696" w:themeColor="accent3"/>
            </w:tcBorders>
          </w:tcPr>
          <w:p w14:paraId="3C6C3A03" w14:textId="77777777" w:rsidR="00B72231" w:rsidRDefault="00B72231" w:rsidP="00E23625">
            <w:pPr>
              <w:ind w:left="360" w:firstLine="0"/>
            </w:pPr>
            <w:r>
              <w:t>Visiting the doctor’s makes me feel uncomfortable, this keeps me from getting vaccinated.</w:t>
            </w:r>
          </w:p>
        </w:tc>
      </w:tr>
      <w:tr w:rsidR="00B72231" w14:paraId="530E119C" w14:textId="77777777" w:rsidTr="00E23625">
        <w:tc>
          <w:tcPr>
            <w:tcW w:w="9350" w:type="dxa"/>
            <w:tcBorders>
              <w:top w:val="single" w:sz="18" w:space="0" w:color="969696" w:themeColor="accent3"/>
              <w:bottom w:val="single" w:sz="18" w:space="0" w:color="969696" w:themeColor="accent3"/>
            </w:tcBorders>
          </w:tcPr>
          <w:p w14:paraId="03D9BC00" w14:textId="77777777" w:rsidR="00B72231" w:rsidRDefault="00B72231" w:rsidP="00E23625">
            <w:pPr>
              <w:ind w:left="360" w:firstLine="0"/>
            </w:pPr>
            <w:r>
              <w:t xml:space="preserve">Calculation </w:t>
            </w:r>
            <w:r>
              <w:rPr>
                <w:rFonts w:cstheme="minorHAnsi"/>
              </w:rPr>
              <w:t>α</w:t>
            </w:r>
            <w:r>
              <w:t xml:space="preserve"> = .78</w:t>
            </w:r>
          </w:p>
        </w:tc>
      </w:tr>
      <w:tr w:rsidR="00B72231" w14:paraId="1E054F35" w14:textId="77777777" w:rsidTr="00E23625">
        <w:tc>
          <w:tcPr>
            <w:tcW w:w="9350" w:type="dxa"/>
            <w:tcBorders>
              <w:top w:val="single" w:sz="18" w:space="0" w:color="969696" w:themeColor="accent3"/>
              <w:bottom w:val="single" w:sz="2" w:space="0" w:color="969696" w:themeColor="accent3"/>
            </w:tcBorders>
          </w:tcPr>
          <w:p w14:paraId="5DC65DB2" w14:textId="77777777" w:rsidR="00B72231" w:rsidRPr="002339AE" w:rsidRDefault="00B72231" w:rsidP="00E23625">
            <w:pPr>
              <w:ind w:left="360" w:firstLine="0"/>
              <w:rPr>
                <w:b/>
                <w:bCs/>
              </w:rPr>
            </w:pPr>
            <w:r>
              <w:rPr>
                <w:b/>
                <w:bCs/>
              </w:rPr>
              <w:t>When I think about getting vaccinated, I weigh the benefits and risks to make the best decision possible.</w:t>
            </w:r>
          </w:p>
        </w:tc>
      </w:tr>
      <w:tr w:rsidR="00B72231" w14:paraId="70D78E98" w14:textId="77777777" w:rsidTr="00E23625">
        <w:tc>
          <w:tcPr>
            <w:tcW w:w="9350" w:type="dxa"/>
            <w:tcBorders>
              <w:top w:val="single" w:sz="2" w:space="0" w:color="969696" w:themeColor="accent3"/>
              <w:bottom w:val="single" w:sz="2" w:space="0" w:color="969696" w:themeColor="accent3"/>
            </w:tcBorders>
          </w:tcPr>
          <w:p w14:paraId="4CBC5A0D" w14:textId="77777777" w:rsidR="00B72231" w:rsidRDefault="00B72231" w:rsidP="00E23625">
            <w:pPr>
              <w:ind w:left="360" w:firstLine="0"/>
            </w:pPr>
            <w:r>
              <w:t>For each and every vaccination, I closely consider whether it is useful for me.</w:t>
            </w:r>
          </w:p>
        </w:tc>
      </w:tr>
      <w:tr w:rsidR="00B72231" w14:paraId="73C3C089" w14:textId="77777777" w:rsidTr="00E23625">
        <w:tc>
          <w:tcPr>
            <w:tcW w:w="9350" w:type="dxa"/>
            <w:tcBorders>
              <w:top w:val="single" w:sz="2" w:space="0" w:color="969696" w:themeColor="accent3"/>
              <w:bottom w:val="single" w:sz="18" w:space="0" w:color="969696" w:themeColor="accent3"/>
            </w:tcBorders>
          </w:tcPr>
          <w:p w14:paraId="18865050" w14:textId="77777777" w:rsidR="00B72231" w:rsidRDefault="00B72231" w:rsidP="00E23625">
            <w:pPr>
              <w:ind w:left="360" w:firstLine="0"/>
            </w:pPr>
            <w:r>
              <w:t>It is important for me to fully understand the topic of vaccination, before I get vaccinated.</w:t>
            </w:r>
          </w:p>
        </w:tc>
      </w:tr>
      <w:tr w:rsidR="00B72231" w14:paraId="18A29B61" w14:textId="77777777" w:rsidTr="00E23625">
        <w:tc>
          <w:tcPr>
            <w:tcW w:w="9350" w:type="dxa"/>
            <w:tcBorders>
              <w:top w:val="single" w:sz="18" w:space="0" w:color="969696" w:themeColor="accent3"/>
              <w:bottom w:val="single" w:sz="18" w:space="0" w:color="969696" w:themeColor="accent3"/>
            </w:tcBorders>
          </w:tcPr>
          <w:p w14:paraId="37BE3FCE" w14:textId="77777777" w:rsidR="00B72231" w:rsidRDefault="00B72231" w:rsidP="00E23625">
            <w:pPr>
              <w:ind w:left="360" w:firstLine="0"/>
            </w:pPr>
            <w:r>
              <w:t xml:space="preserve">Collective responsibility </w:t>
            </w:r>
            <w:r>
              <w:rPr>
                <w:rFonts w:cstheme="minorHAnsi"/>
              </w:rPr>
              <w:t>α</w:t>
            </w:r>
            <w:r>
              <w:t xml:space="preserve"> = .71</w:t>
            </w:r>
          </w:p>
        </w:tc>
      </w:tr>
      <w:tr w:rsidR="00B72231" w14:paraId="0868D926" w14:textId="77777777" w:rsidTr="00E23625">
        <w:tc>
          <w:tcPr>
            <w:tcW w:w="9350" w:type="dxa"/>
            <w:tcBorders>
              <w:top w:val="single" w:sz="18" w:space="0" w:color="969696" w:themeColor="accent3"/>
              <w:bottom w:val="single" w:sz="2" w:space="0" w:color="969696" w:themeColor="accent3"/>
            </w:tcBorders>
          </w:tcPr>
          <w:p w14:paraId="312F8E0A" w14:textId="77777777" w:rsidR="00B72231" w:rsidRPr="0044501E" w:rsidRDefault="00B72231" w:rsidP="00E23625">
            <w:pPr>
              <w:ind w:left="360" w:firstLine="0"/>
              <w:rPr>
                <w:b/>
                <w:bCs/>
              </w:rPr>
            </w:pPr>
            <w:r>
              <w:rPr>
                <w:b/>
                <w:bCs/>
              </w:rPr>
              <w:t>When everyone is vaccinated, I don’t have to get vaccinated, too. (R)</w:t>
            </w:r>
          </w:p>
        </w:tc>
      </w:tr>
      <w:tr w:rsidR="00B72231" w14:paraId="1354A477" w14:textId="77777777" w:rsidTr="00E23625">
        <w:tc>
          <w:tcPr>
            <w:tcW w:w="9350" w:type="dxa"/>
            <w:tcBorders>
              <w:top w:val="single" w:sz="2" w:space="0" w:color="969696" w:themeColor="accent3"/>
              <w:bottom w:val="single" w:sz="2" w:space="0" w:color="969696" w:themeColor="accent3"/>
            </w:tcBorders>
          </w:tcPr>
          <w:p w14:paraId="395F2D2B" w14:textId="77777777" w:rsidR="00B72231" w:rsidRDefault="00B72231" w:rsidP="00E23625">
            <w:pPr>
              <w:ind w:left="360" w:firstLine="0"/>
            </w:pPr>
            <w:r>
              <w:t>I get vaccinated because I can also protect people with a weaker immune system.</w:t>
            </w:r>
          </w:p>
        </w:tc>
      </w:tr>
      <w:tr w:rsidR="00B72231" w14:paraId="02BECB87" w14:textId="77777777" w:rsidTr="00E23625">
        <w:tc>
          <w:tcPr>
            <w:tcW w:w="9350" w:type="dxa"/>
            <w:tcBorders>
              <w:top w:val="single" w:sz="2" w:space="0" w:color="969696" w:themeColor="accent3"/>
              <w:bottom w:val="single" w:sz="18" w:space="0" w:color="969696" w:themeColor="accent3"/>
            </w:tcBorders>
          </w:tcPr>
          <w:p w14:paraId="3136148A" w14:textId="77777777" w:rsidR="00B72231" w:rsidRDefault="00B72231" w:rsidP="00E23625">
            <w:pPr>
              <w:ind w:left="360" w:firstLine="0"/>
            </w:pPr>
            <w:r>
              <w:t>Vaccination is a collective action to prevent the spread of diseases</w:t>
            </w:r>
          </w:p>
        </w:tc>
      </w:tr>
      <w:tr w:rsidR="00B72231" w14:paraId="29B2F540" w14:textId="77777777" w:rsidTr="00E23625">
        <w:tc>
          <w:tcPr>
            <w:tcW w:w="9350" w:type="dxa"/>
            <w:tcBorders>
              <w:top w:val="single" w:sz="18" w:space="0" w:color="969696" w:themeColor="accent3"/>
              <w:bottom w:val="single" w:sz="2" w:space="0" w:color="969696" w:themeColor="accent3"/>
            </w:tcBorders>
          </w:tcPr>
          <w:p w14:paraId="6C92A1E7" w14:textId="77777777" w:rsidR="00B72231" w:rsidRDefault="00B72231" w:rsidP="00E23625">
            <w:pPr>
              <w:ind w:left="360" w:firstLine="0"/>
            </w:pPr>
          </w:p>
          <w:p w14:paraId="505A0D09" w14:textId="77777777" w:rsidR="00B72231" w:rsidRDefault="00B72231" w:rsidP="00E23625">
            <w:pPr>
              <w:ind w:left="360" w:firstLine="0"/>
            </w:pPr>
            <w:r w:rsidRPr="002006E1">
              <w:t>Instruction: “Please evaluate how much you disagree or agree with the following statements.” (1 = strongly disagree, 2 = moderately disagree, 3 = slightly disagree, 4 = neutral, 5 = slightly agree, 6 = moderately agree, 7 = strongly agree). Scoring: mean scores of each sub-scale. Item with (R) is reverse-coded. For the short scale use bold items.</w:t>
            </w:r>
          </w:p>
        </w:tc>
      </w:tr>
      <w:tr w:rsidR="00B72231" w14:paraId="6E131184" w14:textId="77777777" w:rsidTr="00E23625">
        <w:trPr>
          <w:trHeight w:val="70"/>
        </w:trPr>
        <w:tc>
          <w:tcPr>
            <w:tcW w:w="9350" w:type="dxa"/>
            <w:tcBorders>
              <w:top w:val="single" w:sz="2" w:space="0" w:color="969696" w:themeColor="accent3"/>
            </w:tcBorders>
          </w:tcPr>
          <w:p w14:paraId="51777011" w14:textId="77777777" w:rsidR="00B72231" w:rsidRDefault="00B72231" w:rsidP="00E23625">
            <w:pPr>
              <w:ind w:firstLine="0"/>
            </w:pPr>
          </w:p>
        </w:tc>
      </w:tr>
    </w:tbl>
    <w:p w14:paraId="5144183A" w14:textId="02DEC651" w:rsidR="00B72231" w:rsidRDefault="00B72231" w:rsidP="00816D5C">
      <w:pPr>
        <w:ind w:firstLine="0"/>
      </w:pPr>
    </w:p>
    <w:p w14:paraId="376AB77D" w14:textId="77777777" w:rsidR="00B72231" w:rsidRDefault="00B72231">
      <w:r>
        <w:br w:type="page"/>
      </w:r>
    </w:p>
    <w:p w14:paraId="08ECE375" w14:textId="527F96E7" w:rsidR="00816D5C" w:rsidRDefault="00B72231" w:rsidP="00B72231">
      <w:pPr>
        <w:ind w:firstLine="0"/>
        <w:jc w:val="center"/>
        <w:rPr>
          <w:b/>
          <w:bCs/>
        </w:rPr>
      </w:pPr>
      <w:r>
        <w:rPr>
          <w:b/>
          <w:bCs/>
        </w:rPr>
        <w:lastRenderedPageBreak/>
        <w:t xml:space="preserve">Appendix </w:t>
      </w:r>
      <w:r w:rsidR="00C8512A">
        <w:rPr>
          <w:b/>
          <w:bCs/>
        </w:rPr>
        <w:t>D</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B72231" w14:paraId="02DF3E0D" w14:textId="77777777" w:rsidTr="00E23625">
        <w:tc>
          <w:tcPr>
            <w:tcW w:w="9350" w:type="dxa"/>
            <w:tcBorders>
              <w:bottom w:val="single" w:sz="18" w:space="0" w:color="969696" w:themeColor="accent3"/>
            </w:tcBorders>
          </w:tcPr>
          <w:p w14:paraId="01DFD446" w14:textId="77777777" w:rsidR="00B72231" w:rsidRPr="00B021CB" w:rsidRDefault="00B72231" w:rsidP="00E23625">
            <w:pPr>
              <w:ind w:left="360" w:firstLine="0"/>
              <w:jc w:val="center"/>
              <w:rPr>
                <w:b/>
                <w:bCs/>
              </w:rPr>
            </w:pPr>
            <w:r w:rsidRPr="00B021CB">
              <w:rPr>
                <w:b/>
                <w:bCs/>
              </w:rPr>
              <w:t>Perceived effectiveness of mitigation efforts against the COVID-19 pandemic</w:t>
            </w:r>
          </w:p>
        </w:tc>
      </w:tr>
      <w:tr w:rsidR="00B72231" w14:paraId="6FCAECB0" w14:textId="77777777" w:rsidTr="00E23625">
        <w:tc>
          <w:tcPr>
            <w:tcW w:w="9350" w:type="dxa"/>
            <w:tcBorders>
              <w:top w:val="single" w:sz="18" w:space="0" w:color="969696" w:themeColor="accent3"/>
              <w:bottom w:val="single" w:sz="2" w:space="0" w:color="969696" w:themeColor="accent3"/>
            </w:tcBorders>
          </w:tcPr>
          <w:p w14:paraId="495C2A2D" w14:textId="77777777" w:rsidR="00B72231" w:rsidRDefault="00B72231" w:rsidP="00E23625">
            <w:pPr>
              <w:ind w:left="360" w:firstLine="0"/>
            </w:pPr>
            <w:r>
              <w:t>Wearing a face mask.</w:t>
            </w:r>
          </w:p>
        </w:tc>
      </w:tr>
      <w:tr w:rsidR="00B72231" w14:paraId="780A8708" w14:textId="77777777" w:rsidTr="00E23625">
        <w:tc>
          <w:tcPr>
            <w:tcW w:w="9350" w:type="dxa"/>
            <w:tcBorders>
              <w:top w:val="single" w:sz="2" w:space="0" w:color="969696" w:themeColor="accent3"/>
              <w:bottom w:val="single" w:sz="2" w:space="0" w:color="969696" w:themeColor="accent3"/>
            </w:tcBorders>
          </w:tcPr>
          <w:p w14:paraId="56E70729" w14:textId="77777777" w:rsidR="00B72231" w:rsidRDefault="00B72231" w:rsidP="00E23625">
            <w:pPr>
              <w:ind w:left="360" w:firstLine="0"/>
            </w:pPr>
            <w:r>
              <w:t>Praying.</w:t>
            </w:r>
          </w:p>
        </w:tc>
      </w:tr>
      <w:tr w:rsidR="00B72231" w14:paraId="4B279992" w14:textId="77777777" w:rsidTr="00E23625">
        <w:tc>
          <w:tcPr>
            <w:tcW w:w="9350" w:type="dxa"/>
            <w:tcBorders>
              <w:top w:val="single" w:sz="2" w:space="0" w:color="969696" w:themeColor="accent3"/>
              <w:bottom w:val="single" w:sz="2" w:space="0" w:color="969696" w:themeColor="accent3"/>
            </w:tcBorders>
          </w:tcPr>
          <w:p w14:paraId="46EB47A0" w14:textId="77777777" w:rsidR="00B72231" w:rsidRDefault="00B72231" w:rsidP="00E23625">
            <w:pPr>
              <w:ind w:left="360" w:firstLine="0"/>
            </w:pPr>
            <w:r>
              <w:t>Washing your hands with soap or using hand sanitizer frequently.</w:t>
            </w:r>
          </w:p>
        </w:tc>
      </w:tr>
      <w:tr w:rsidR="00B72231" w14:paraId="01C7EFAF" w14:textId="77777777" w:rsidTr="00E23625">
        <w:tc>
          <w:tcPr>
            <w:tcW w:w="9350" w:type="dxa"/>
            <w:tcBorders>
              <w:top w:val="single" w:sz="2" w:space="0" w:color="969696" w:themeColor="accent3"/>
              <w:bottom w:val="single" w:sz="2" w:space="0" w:color="969696" w:themeColor="accent3"/>
            </w:tcBorders>
          </w:tcPr>
          <w:p w14:paraId="493B44B7" w14:textId="77777777" w:rsidR="00B72231" w:rsidRDefault="00B72231" w:rsidP="00E23625">
            <w:pPr>
              <w:ind w:left="360" w:firstLine="0"/>
            </w:pPr>
            <w:r>
              <w:t>Seeing a health care provider if you feel sick.</w:t>
            </w:r>
          </w:p>
        </w:tc>
      </w:tr>
      <w:tr w:rsidR="00B72231" w14:paraId="11C5E4CA" w14:textId="77777777" w:rsidTr="00E23625">
        <w:tc>
          <w:tcPr>
            <w:tcW w:w="9350" w:type="dxa"/>
            <w:tcBorders>
              <w:top w:val="single" w:sz="2" w:space="0" w:color="969696" w:themeColor="accent3"/>
              <w:bottom w:val="single" w:sz="2" w:space="0" w:color="969696" w:themeColor="accent3"/>
            </w:tcBorders>
          </w:tcPr>
          <w:p w14:paraId="6E42BFD3" w14:textId="77777777" w:rsidR="00B72231" w:rsidRDefault="00B72231" w:rsidP="00E23625">
            <w:pPr>
              <w:ind w:left="360" w:firstLine="0"/>
            </w:pPr>
            <w:r>
              <w:t>Seeing a health care provider if you feel healthy but worry that you were exposed.</w:t>
            </w:r>
          </w:p>
        </w:tc>
      </w:tr>
      <w:tr w:rsidR="00B72231" w14:paraId="03C9AB8C" w14:textId="77777777" w:rsidTr="00E23625">
        <w:tc>
          <w:tcPr>
            <w:tcW w:w="9350" w:type="dxa"/>
            <w:tcBorders>
              <w:top w:val="single" w:sz="2" w:space="0" w:color="969696" w:themeColor="accent3"/>
              <w:bottom w:val="single" w:sz="2" w:space="0" w:color="969696" w:themeColor="accent3"/>
            </w:tcBorders>
          </w:tcPr>
          <w:p w14:paraId="6FE6C969" w14:textId="77777777" w:rsidR="00B72231" w:rsidRDefault="00B72231" w:rsidP="00E23625">
            <w:pPr>
              <w:ind w:left="360" w:firstLine="0"/>
            </w:pPr>
            <w:r>
              <w:t>Avoiding public spaces, gatherings, and crowds.</w:t>
            </w:r>
          </w:p>
        </w:tc>
      </w:tr>
      <w:tr w:rsidR="00B72231" w14:paraId="6758B291" w14:textId="77777777" w:rsidTr="00E23625">
        <w:tc>
          <w:tcPr>
            <w:tcW w:w="9350" w:type="dxa"/>
            <w:tcBorders>
              <w:top w:val="single" w:sz="2" w:space="0" w:color="969696" w:themeColor="accent3"/>
              <w:bottom w:val="single" w:sz="2" w:space="0" w:color="969696" w:themeColor="accent3"/>
            </w:tcBorders>
          </w:tcPr>
          <w:p w14:paraId="6AC6CAA3" w14:textId="77777777" w:rsidR="00B72231" w:rsidRDefault="00B72231" w:rsidP="00E23625">
            <w:pPr>
              <w:ind w:left="360" w:firstLine="0"/>
            </w:pPr>
            <w:r>
              <w:t>Avoiding contact with people who could be high risk.</w:t>
            </w:r>
          </w:p>
        </w:tc>
      </w:tr>
      <w:tr w:rsidR="00B72231" w14:paraId="0BA6E6BA" w14:textId="77777777" w:rsidTr="00E23625">
        <w:tc>
          <w:tcPr>
            <w:tcW w:w="9350" w:type="dxa"/>
            <w:tcBorders>
              <w:top w:val="single" w:sz="2" w:space="0" w:color="969696" w:themeColor="accent3"/>
              <w:bottom w:val="single" w:sz="2" w:space="0" w:color="969696" w:themeColor="accent3"/>
            </w:tcBorders>
          </w:tcPr>
          <w:p w14:paraId="50C75F7C" w14:textId="77777777" w:rsidR="00B72231" w:rsidRDefault="00B72231" w:rsidP="00E23625">
            <w:pPr>
              <w:ind w:left="360" w:firstLine="0"/>
            </w:pPr>
            <w:r>
              <w:t>Avoiding hospitals and clinics.</w:t>
            </w:r>
          </w:p>
        </w:tc>
      </w:tr>
      <w:tr w:rsidR="00B72231" w14:paraId="74DE6D65" w14:textId="77777777" w:rsidTr="00E23625">
        <w:tc>
          <w:tcPr>
            <w:tcW w:w="9350" w:type="dxa"/>
            <w:tcBorders>
              <w:top w:val="single" w:sz="2" w:space="0" w:color="969696" w:themeColor="accent3"/>
              <w:bottom w:val="single" w:sz="2" w:space="0" w:color="969696" w:themeColor="accent3"/>
            </w:tcBorders>
          </w:tcPr>
          <w:p w14:paraId="1CEE1669" w14:textId="77777777" w:rsidR="00B72231" w:rsidRDefault="00B72231" w:rsidP="00E23625">
            <w:pPr>
              <w:ind w:left="360" w:firstLine="0"/>
            </w:pPr>
            <w:r>
              <w:t>Avoiding restaurants.</w:t>
            </w:r>
          </w:p>
        </w:tc>
      </w:tr>
      <w:tr w:rsidR="00B72231" w14:paraId="6934C41D" w14:textId="77777777" w:rsidTr="00E23625">
        <w:tc>
          <w:tcPr>
            <w:tcW w:w="9350" w:type="dxa"/>
            <w:tcBorders>
              <w:top w:val="single" w:sz="2" w:space="0" w:color="969696" w:themeColor="accent3"/>
              <w:bottom w:val="single" w:sz="18" w:space="0" w:color="969696" w:themeColor="accent3"/>
            </w:tcBorders>
          </w:tcPr>
          <w:p w14:paraId="14179ED3" w14:textId="77777777" w:rsidR="00B72231" w:rsidRDefault="00B72231" w:rsidP="00E23625">
            <w:pPr>
              <w:ind w:left="360" w:firstLine="0"/>
            </w:pPr>
            <w:r>
              <w:t>Avoiding public transportation.</w:t>
            </w:r>
          </w:p>
        </w:tc>
      </w:tr>
      <w:tr w:rsidR="00B72231" w14:paraId="4DCAAA4A" w14:textId="77777777" w:rsidTr="00E23625">
        <w:tc>
          <w:tcPr>
            <w:tcW w:w="9350" w:type="dxa"/>
            <w:tcBorders>
              <w:top w:val="single" w:sz="18" w:space="0" w:color="969696" w:themeColor="accent3"/>
              <w:bottom w:val="single" w:sz="2" w:space="0" w:color="969696" w:themeColor="accent3"/>
            </w:tcBorders>
          </w:tcPr>
          <w:p w14:paraId="285486F8" w14:textId="77777777" w:rsidR="00B72231" w:rsidRDefault="00B72231" w:rsidP="00E23625">
            <w:pPr>
              <w:ind w:firstLine="0"/>
            </w:pPr>
            <w:r>
              <w:t>Instructions: “Please evaluate how much you disagree or agree with the following statements.” (1 = strongly disagree, 2 = disagree, 3 = neutral, 4 = agree, 5 = strongly agree). Scoring: total all statements for final score</w:t>
            </w:r>
          </w:p>
        </w:tc>
      </w:tr>
    </w:tbl>
    <w:p w14:paraId="63C4587C" w14:textId="77777777" w:rsidR="00B72231" w:rsidRPr="00B72231" w:rsidRDefault="00B72231" w:rsidP="00B72231">
      <w:pPr>
        <w:ind w:firstLine="0"/>
      </w:pPr>
    </w:p>
    <w:sectPr w:rsidR="00B72231" w:rsidRPr="00B72231">
      <w:headerReference w:type="default" r:id="rId15"/>
      <w:headerReference w:type="first" r:id="rId16"/>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D9767" w14:textId="77777777" w:rsidR="00F129DE" w:rsidRDefault="00F129DE">
      <w:pPr>
        <w:spacing w:line="240" w:lineRule="auto"/>
      </w:pPr>
      <w:r>
        <w:separator/>
      </w:r>
    </w:p>
    <w:p w14:paraId="6E663796" w14:textId="77777777" w:rsidR="00F129DE" w:rsidRDefault="00F129DE"/>
  </w:endnote>
  <w:endnote w:type="continuationSeparator" w:id="0">
    <w:p w14:paraId="6703566E" w14:textId="77777777" w:rsidR="00F129DE" w:rsidRDefault="00F129DE">
      <w:pPr>
        <w:spacing w:line="240" w:lineRule="auto"/>
      </w:pPr>
      <w:r>
        <w:continuationSeparator/>
      </w:r>
    </w:p>
    <w:p w14:paraId="06179EF8" w14:textId="77777777" w:rsidR="00F129DE" w:rsidRDefault="00F12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ECB3A" w14:textId="77777777" w:rsidR="00F129DE" w:rsidRDefault="00F129DE">
      <w:pPr>
        <w:spacing w:line="240" w:lineRule="auto"/>
      </w:pPr>
      <w:r>
        <w:separator/>
      </w:r>
    </w:p>
    <w:p w14:paraId="7A875BE4" w14:textId="77777777" w:rsidR="00F129DE" w:rsidRDefault="00F129DE"/>
  </w:footnote>
  <w:footnote w:type="continuationSeparator" w:id="0">
    <w:p w14:paraId="7F78DFB8" w14:textId="77777777" w:rsidR="00F129DE" w:rsidRDefault="00F129DE">
      <w:pPr>
        <w:spacing w:line="240" w:lineRule="auto"/>
      </w:pPr>
      <w:r>
        <w:continuationSeparator/>
      </w:r>
    </w:p>
    <w:p w14:paraId="5B2BA58E" w14:textId="77777777" w:rsidR="00F129DE" w:rsidRDefault="00F12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2-Accent1"/>
      <w:tblW w:w="0" w:type="auto"/>
      <w:tblLook w:val="04A0" w:firstRow="1" w:lastRow="0" w:firstColumn="1" w:lastColumn="0" w:noHBand="0" w:noVBand="1"/>
      <w:tblDescription w:val="Header layout table"/>
    </w:tblPr>
    <w:tblGrid>
      <w:gridCol w:w="8280"/>
      <w:gridCol w:w="1080"/>
    </w:tblGrid>
    <w:tr w:rsidR="004D6B86" w14:paraId="0BE22A58" w14:textId="77777777" w:rsidTr="008A78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tcPr>
        <w:p w14:paraId="25CB3AD3" w14:textId="5B6599BC" w:rsidR="004D6B86" w:rsidRPr="00170521" w:rsidRDefault="00F8600D" w:rsidP="00170521">
          <w:pPr>
            <w:pStyle w:val="Header"/>
          </w:pPr>
          <w:sdt>
            <w:sdtPr>
              <w:alias w:val="Enter shortened title:"/>
              <w:tag w:val="Enter shortened title:"/>
              <w:id w:val="-582528332"/>
              <w15:dataBinding w:prefixMappings="xmlns:ns0='http://schemas.microsoft.com/temp/samples' " w:xpath="/ns0:employees[1]/ns0:employee[1]/ns0:CustomerName[1]" w:storeItemID="{B98E728A-96FF-4995-885C-5AF887AB0C35}" w16sdtdh:storeItemChecksum="sbI8Lw=="/>
              <w15:appearance w15:val="hidden"/>
            </w:sdtPr>
            <w:sdtEndPr/>
            <w:sdtContent>
              <w:r w:rsidR="00965E79">
                <w:t>PRAYER AND PREVENTATIVE MEASURES AGAINST COVID-19</w:t>
              </w:r>
            </w:sdtContent>
          </w:sdt>
        </w:p>
      </w:tc>
      <w:tc>
        <w:tcPr>
          <w:tcW w:w="1080" w:type="dxa"/>
        </w:tcPr>
        <w:p w14:paraId="009C6BDA" w14:textId="77777777" w:rsidR="004D6B86" w:rsidRDefault="00345333">
          <w:pPr>
            <w:pStyle w:val="Header"/>
            <w:jc w:val="right"/>
            <w:cnfStyle w:val="100000000000" w:firstRow="1" w:lastRow="0" w:firstColumn="0" w:lastColumn="0" w:oddVBand="0" w:evenVBand="0" w:oddHBand="0" w:evenHBand="0" w:firstRowFirstColumn="0" w:firstRowLastColumn="0" w:lastRowFirstColumn="0" w:lastRowLastColumn="0"/>
          </w:pPr>
          <w:r>
            <w:fldChar w:fldCharType="begin"/>
          </w:r>
          <w:r>
            <w:instrText xml:space="preserve"> PAGE   \* MERGEFORMAT </w:instrText>
          </w:r>
          <w:r>
            <w:fldChar w:fldCharType="separate"/>
          </w:r>
          <w:r w:rsidR="00C925C8">
            <w:rPr>
              <w:noProof/>
            </w:rPr>
            <w:t>2</w:t>
          </w:r>
          <w:r>
            <w:rPr>
              <w:noProof/>
            </w:rPr>
            <w:fldChar w:fldCharType="end"/>
          </w:r>
        </w:p>
      </w:tc>
    </w:tr>
  </w:tbl>
  <w:p w14:paraId="7E7F2285" w14:textId="77777777" w:rsidR="004D6B86" w:rsidRDefault="004D6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2-Accent1"/>
      <w:tblW w:w="0" w:type="auto"/>
      <w:tblLook w:val="04A0" w:firstRow="1" w:lastRow="0" w:firstColumn="1" w:lastColumn="0" w:noHBand="0" w:noVBand="1"/>
      <w:tblDescription w:val="Header layout table"/>
    </w:tblPr>
    <w:tblGrid>
      <w:gridCol w:w="8280"/>
      <w:gridCol w:w="1080"/>
    </w:tblGrid>
    <w:tr w:rsidR="004D6B86" w14:paraId="02A08536" w14:textId="77777777" w:rsidTr="008A78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tcPr>
        <w:p w14:paraId="655B37E8" w14:textId="59FD45EC" w:rsidR="004D6B86" w:rsidRPr="009F0414" w:rsidRDefault="00F8600D" w:rsidP="00504F88">
          <w:pPr>
            <w:pStyle w:val="Header"/>
          </w:pPr>
          <w:sdt>
            <w:sdtPr>
              <w:alias w:val="Enter shortened title:"/>
              <w:tag w:val="Enter shortened title:"/>
              <w:id w:val="-211583021"/>
              <w15:dataBinding w:prefixMappings="xmlns:ns0='http://schemas.microsoft.com/temp/samples' " w:xpath="/ns0:employees[1]/ns0:employee[1]/ns0:CustomerName[1]" w:storeItemID="{B98E728A-96FF-4995-885C-5AF887AB0C35}" w16sdtdh:storeItemChecksum="sbI8Lw=="/>
              <w15:appearance w15:val="hidden"/>
            </w:sdtPr>
            <w:sdtEndPr/>
            <w:sdtContent>
              <w:r w:rsidR="00FD79F2">
                <w:t>P</w:t>
              </w:r>
              <w:r w:rsidR="00416E42">
                <w:t>RAYER AND PREVENTAT</w:t>
              </w:r>
              <w:r w:rsidR="003A0BD6">
                <w:t>IVE MEASURES</w:t>
              </w:r>
              <w:r w:rsidR="00965E79">
                <w:t xml:space="preserve"> AGAINST COVID-19</w:t>
              </w:r>
            </w:sdtContent>
          </w:sdt>
        </w:p>
      </w:tc>
      <w:tc>
        <w:tcPr>
          <w:tcW w:w="1080" w:type="dxa"/>
        </w:tcPr>
        <w:p w14:paraId="777C9D03" w14:textId="77777777" w:rsidR="004D6B86" w:rsidRDefault="00345333">
          <w:pPr>
            <w:pStyle w:val="Header"/>
            <w:jc w:val="right"/>
            <w:cnfStyle w:val="100000000000" w:firstRow="1" w:lastRow="0" w:firstColumn="0" w:lastColumn="0" w:oddVBand="0" w:evenVBand="0" w:oddHBand="0" w:evenHBand="0" w:firstRowFirstColumn="0" w:firstRowLastColumn="0" w:lastRowFirstColumn="0" w:lastRowLastColumn="0"/>
          </w:pPr>
          <w:r>
            <w:fldChar w:fldCharType="begin"/>
          </w:r>
          <w:r>
            <w:instrText xml:space="preserve"> PAGE   \* MERGEFORMAT </w:instrText>
          </w:r>
          <w:r>
            <w:fldChar w:fldCharType="separate"/>
          </w:r>
          <w:r w:rsidR="00C925C8">
            <w:rPr>
              <w:noProof/>
            </w:rPr>
            <w:t>1</w:t>
          </w:r>
          <w:r>
            <w:rPr>
              <w:noProof/>
            </w:rPr>
            <w:fldChar w:fldCharType="end"/>
          </w:r>
        </w:p>
      </w:tc>
    </w:tr>
  </w:tbl>
  <w:p w14:paraId="63232BAD" w14:textId="77777777" w:rsidR="004D6B86" w:rsidRDefault="004D6B86" w:rsidP="002C6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0EF0E5D"/>
    <w:multiLevelType w:val="hybridMultilevel"/>
    <w:tmpl w:val="C6DC5A26"/>
    <w:lvl w:ilvl="0" w:tplc="6DC8262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481288"/>
    <w:multiLevelType w:val="hybridMultilevel"/>
    <w:tmpl w:val="42B0B3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9F2807"/>
    <w:multiLevelType w:val="hybridMultilevel"/>
    <w:tmpl w:val="2C506BDE"/>
    <w:lvl w:ilvl="0" w:tplc="4100F3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E24C89"/>
    <w:multiLevelType w:val="hybridMultilevel"/>
    <w:tmpl w:val="DF70489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2357D49"/>
    <w:multiLevelType w:val="hybridMultilevel"/>
    <w:tmpl w:val="897AA4AE"/>
    <w:lvl w:ilvl="0" w:tplc="ED1A9F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BD74DC"/>
    <w:multiLevelType w:val="hybridMultilevel"/>
    <w:tmpl w:val="D6C83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1B49E1"/>
    <w:multiLevelType w:val="hybridMultilevel"/>
    <w:tmpl w:val="3456592A"/>
    <w:lvl w:ilvl="0" w:tplc="BAF626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AC6C15"/>
    <w:multiLevelType w:val="hybridMultilevel"/>
    <w:tmpl w:val="3BD01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25248F"/>
    <w:multiLevelType w:val="hybridMultilevel"/>
    <w:tmpl w:val="F12CE6E8"/>
    <w:lvl w:ilvl="0" w:tplc="9CA4C7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D667EF"/>
    <w:multiLevelType w:val="hybridMultilevel"/>
    <w:tmpl w:val="FA3A23AC"/>
    <w:lvl w:ilvl="0" w:tplc="026888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6B54C6"/>
    <w:multiLevelType w:val="hybridMultilevel"/>
    <w:tmpl w:val="D618D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1216555">
    <w:abstractNumId w:val="9"/>
  </w:num>
  <w:num w:numId="2" w16cid:durableId="820929055">
    <w:abstractNumId w:val="7"/>
  </w:num>
  <w:num w:numId="3" w16cid:durableId="146365897">
    <w:abstractNumId w:val="6"/>
  </w:num>
  <w:num w:numId="4" w16cid:durableId="1471899897">
    <w:abstractNumId w:val="5"/>
  </w:num>
  <w:num w:numId="5" w16cid:durableId="1165821839">
    <w:abstractNumId w:val="4"/>
  </w:num>
  <w:num w:numId="6" w16cid:durableId="2119834411">
    <w:abstractNumId w:val="8"/>
  </w:num>
  <w:num w:numId="7" w16cid:durableId="1540121605">
    <w:abstractNumId w:val="3"/>
  </w:num>
  <w:num w:numId="8" w16cid:durableId="318846972">
    <w:abstractNumId w:val="2"/>
  </w:num>
  <w:num w:numId="9" w16cid:durableId="271206250">
    <w:abstractNumId w:val="1"/>
  </w:num>
  <w:num w:numId="10" w16cid:durableId="1672483759">
    <w:abstractNumId w:val="0"/>
  </w:num>
  <w:num w:numId="11" w16cid:durableId="1149055886">
    <w:abstractNumId w:val="9"/>
    <w:lvlOverride w:ilvl="0">
      <w:startOverride w:val="1"/>
    </w:lvlOverride>
  </w:num>
  <w:num w:numId="12" w16cid:durableId="1382637355">
    <w:abstractNumId w:val="19"/>
  </w:num>
  <w:num w:numId="13" w16cid:durableId="1205753122">
    <w:abstractNumId w:val="16"/>
  </w:num>
  <w:num w:numId="14" w16cid:durableId="1332026024">
    <w:abstractNumId w:val="12"/>
  </w:num>
  <w:num w:numId="15" w16cid:durableId="551117198">
    <w:abstractNumId w:val="14"/>
  </w:num>
  <w:num w:numId="16" w16cid:durableId="1441299233">
    <w:abstractNumId w:val="18"/>
  </w:num>
  <w:num w:numId="17" w16cid:durableId="1712925791">
    <w:abstractNumId w:val="10"/>
  </w:num>
  <w:num w:numId="18" w16cid:durableId="681585430">
    <w:abstractNumId w:val="13"/>
  </w:num>
  <w:num w:numId="19" w16cid:durableId="1204169032">
    <w:abstractNumId w:val="17"/>
  </w:num>
  <w:num w:numId="20" w16cid:durableId="967510618">
    <w:abstractNumId w:val="15"/>
  </w:num>
  <w:num w:numId="21" w16cid:durableId="541207934">
    <w:abstractNumId w:val="11"/>
  </w:num>
  <w:num w:numId="22" w16cid:durableId="17806812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359"/>
    <w:rsid w:val="00003741"/>
    <w:rsid w:val="0000465D"/>
    <w:rsid w:val="00006768"/>
    <w:rsid w:val="00006BBA"/>
    <w:rsid w:val="000076A5"/>
    <w:rsid w:val="0001010E"/>
    <w:rsid w:val="000106CB"/>
    <w:rsid w:val="00010FF6"/>
    <w:rsid w:val="00011628"/>
    <w:rsid w:val="00020156"/>
    <w:rsid w:val="00020D01"/>
    <w:rsid w:val="000212DE"/>
    <w:rsid w:val="000217F5"/>
    <w:rsid w:val="00023E1C"/>
    <w:rsid w:val="000240F5"/>
    <w:rsid w:val="00024878"/>
    <w:rsid w:val="000275B0"/>
    <w:rsid w:val="00031312"/>
    <w:rsid w:val="00037211"/>
    <w:rsid w:val="000422B4"/>
    <w:rsid w:val="00042AAE"/>
    <w:rsid w:val="00054C6C"/>
    <w:rsid w:val="000676B5"/>
    <w:rsid w:val="0007386A"/>
    <w:rsid w:val="00077E18"/>
    <w:rsid w:val="0008541E"/>
    <w:rsid w:val="00087A53"/>
    <w:rsid w:val="00091D74"/>
    <w:rsid w:val="00092329"/>
    <w:rsid w:val="00092FC6"/>
    <w:rsid w:val="00094F6A"/>
    <w:rsid w:val="000963B6"/>
    <w:rsid w:val="000970B2"/>
    <w:rsid w:val="00097169"/>
    <w:rsid w:val="000A0C52"/>
    <w:rsid w:val="000A26CC"/>
    <w:rsid w:val="000A3157"/>
    <w:rsid w:val="000A454F"/>
    <w:rsid w:val="000A6018"/>
    <w:rsid w:val="000B10FE"/>
    <w:rsid w:val="000B766F"/>
    <w:rsid w:val="000C0ADA"/>
    <w:rsid w:val="000C2679"/>
    <w:rsid w:val="000C63D4"/>
    <w:rsid w:val="000D1A19"/>
    <w:rsid w:val="000D1ABE"/>
    <w:rsid w:val="000D1BD3"/>
    <w:rsid w:val="000D1FC2"/>
    <w:rsid w:val="000E3733"/>
    <w:rsid w:val="000E43EF"/>
    <w:rsid w:val="000E6367"/>
    <w:rsid w:val="000F50D3"/>
    <w:rsid w:val="000F713D"/>
    <w:rsid w:val="0011086B"/>
    <w:rsid w:val="00110E4D"/>
    <w:rsid w:val="001118EB"/>
    <w:rsid w:val="00112449"/>
    <w:rsid w:val="00114BFA"/>
    <w:rsid w:val="00115B4C"/>
    <w:rsid w:val="00121862"/>
    <w:rsid w:val="00124388"/>
    <w:rsid w:val="00124ADD"/>
    <w:rsid w:val="0013247E"/>
    <w:rsid w:val="001403C0"/>
    <w:rsid w:val="001410E9"/>
    <w:rsid w:val="00141AA3"/>
    <w:rsid w:val="00141DE5"/>
    <w:rsid w:val="00147D94"/>
    <w:rsid w:val="00151FD6"/>
    <w:rsid w:val="00154493"/>
    <w:rsid w:val="001547FF"/>
    <w:rsid w:val="001550C1"/>
    <w:rsid w:val="001602E3"/>
    <w:rsid w:val="00160C0C"/>
    <w:rsid w:val="00161058"/>
    <w:rsid w:val="0016462F"/>
    <w:rsid w:val="001664A2"/>
    <w:rsid w:val="00170521"/>
    <w:rsid w:val="00170FDA"/>
    <w:rsid w:val="0017197D"/>
    <w:rsid w:val="00171A7C"/>
    <w:rsid w:val="00171FAE"/>
    <w:rsid w:val="001825F0"/>
    <w:rsid w:val="0018260C"/>
    <w:rsid w:val="00186E9C"/>
    <w:rsid w:val="00195648"/>
    <w:rsid w:val="001A13F2"/>
    <w:rsid w:val="001A1695"/>
    <w:rsid w:val="001A305C"/>
    <w:rsid w:val="001A342B"/>
    <w:rsid w:val="001A3942"/>
    <w:rsid w:val="001B25AF"/>
    <w:rsid w:val="001B4848"/>
    <w:rsid w:val="001B5C4B"/>
    <w:rsid w:val="001C179D"/>
    <w:rsid w:val="001C1D58"/>
    <w:rsid w:val="001C2D13"/>
    <w:rsid w:val="001C5128"/>
    <w:rsid w:val="001D045B"/>
    <w:rsid w:val="001D108F"/>
    <w:rsid w:val="001D1720"/>
    <w:rsid w:val="001D2393"/>
    <w:rsid w:val="001D5C69"/>
    <w:rsid w:val="001E55A1"/>
    <w:rsid w:val="001E7F44"/>
    <w:rsid w:val="001F447A"/>
    <w:rsid w:val="001F7399"/>
    <w:rsid w:val="0020008F"/>
    <w:rsid w:val="002006E1"/>
    <w:rsid w:val="002118FF"/>
    <w:rsid w:val="00212319"/>
    <w:rsid w:val="00213E43"/>
    <w:rsid w:val="002206E5"/>
    <w:rsid w:val="0022411A"/>
    <w:rsid w:val="00225BE3"/>
    <w:rsid w:val="00232E4A"/>
    <w:rsid w:val="002339AE"/>
    <w:rsid w:val="002407A8"/>
    <w:rsid w:val="00242DA2"/>
    <w:rsid w:val="00246F29"/>
    <w:rsid w:val="002527D2"/>
    <w:rsid w:val="002546A6"/>
    <w:rsid w:val="0025525D"/>
    <w:rsid w:val="00255C07"/>
    <w:rsid w:val="0026021F"/>
    <w:rsid w:val="0026795F"/>
    <w:rsid w:val="00274885"/>
    <w:rsid w:val="00274B90"/>
    <w:rsid w:val="00274E0A"/>
    <w:rsid w:val="0028270A"/>
    <w:rsid w:val="00286BBE"/>
    <w:rsid w:val="00290470"/>
    <w:rsid w:val="002937B2"/>
    <w:rsid w:val="0029508B"/>
    <w:rsid w:val="00296EEC"/>
    <w:rsid w:val="002A22DD"/>
    <w:rsid w:val="002A32CF"/>
    <w:rsid w:val="002A3434"/>
    <w:rsid w:val="002A3900"/>
    <w:rsid w:val="002A604D"/>
    <w:rsid w:val="002A66A6"/>
    <w:rsid w:val="002A6CBA"/>
    <w:rsid w:val="002B1289"/>
    <w:rsid w:val="002B6153"/>
    <w:rsid w:val="002B6AB4"/>
    <w:rsid w:val="002C627C"/>
    <w:rsid w:val="002C64AA"/>
    <w:rsid w:val="002C7766"/>
    <w:rsid w:val="002C7833"/>
    <w:rsid w:val="002D7E07"/>
    <w:rsid w:val="002E242B"/>
    <w:rsid w:val="002E291D"/>
    <w:rsid w:val="002F3B2B"/>
    <w:rsid w:val="002F5B6A"/>
    <w:rsid w:val="002F70D8"/>
    <w:rsid w:val="003017AE"/>
    <w:rsid w:val="00304E1F"/>
    <w:rsid w:val="00306DBE"/>
    <w:rsid w:val="00307586"/>
    <w:rsid w:val="0031794D"/>
    <w:rsid w:val="00321D57"/>
    <w:rsid w:val="003222D0"/>
    <w:rsid w:val="00327BD3"/>
    <w:rsid w:val="003308A3"/>
    <w:rsid w:val="00332D28"/>
    <w:rsid w:val="00336906"/>
    <w:rsid w:val="0033748D"/>
    <w:rsid w:val="00345333"/>
    <w:rsid w:val="00346A12"/>
    <w:rsid w:val="003502ED"/>
    <w:rsid w:val="00353255"/>
    <w:rsid w:val="003608BC"/>
    <w:rsid w:val="00360A76"/>
    <w:rsid w:val="0036731F"/>
    <w:rsid w:val="00375160"/>
    <w:rsid w:val="00377F3C"/>
    <w:rsid w:val="0038134C"/>
    <w:rsid w:val="00386629"/>
    <w:rsid w:val="003900B3"/>
    <w:rsid w:val="00391560"/>
    <w:rsid w:val="00392351"/>
    <w:rsid w:val="00392527"/>
    <w:rsid w:val="00393066"/>
    <w:rsid w:val="0039513C"/>
    <w:rsid w:val="003974CD"/>
    <w:rsid w:val="003A05E4"/>
    <w:rsid w:val="003A06C6"/>
    <w:rsid w:val="003A0BD6"/>
    <w:rsid w:val="003A439B"/>
    <w:rsid w:val="003A5BDD"/>
    <w:rsid w:val="003A604A"/>
    <w:rsid w:val="003B7B24"/>
    <w:rsid w:val="003D1543"/>
    <w:rsid w:val="003D20EC"/>
    <w:rsid w:val="003E0770"/>
    <w:rsid w:val="003E36B1"/>
    <w:rsid w:val="003E4162"/>
    <w:rsid w:val="003F00EA"/>
    <w:rsid w:val="003F0340"/>
    <w:rsid w:val="003F303D"/>
    <w:rsid w:val="003F594F"/>
    <w:rsid w:val="003F68F7"/>
    <w:rsid w:val="003F7CBD"/>
    <w:rsid w:val="004007FF"/>
    <w:rsid w:val="00401511"/>
    <w:rsid w:val="00401E02"/>
    <w:rsid w:val="00410244"/>
    <w:rsid w:val="00410493"/>
    <w:rsid w:val="00411111"/>
    <w:rsid w:val="00411912"/>
    <w:rsid w:val="00414BB4"/>
    <w:rsid w:val="00416E42"/>
    <w:rsid w:val="00420265"/>
    <w:rsid w:val="00426F09"/>
    <w:rsid w:val="0043278A"/>
    <w:rsid w:val="00432F78"/>
    <w:rsid w:val="00433045"/>
    <w:rsid w:val="0043599D"/>
    <w:rsid w:val="00435EC6"/>
    <w:rsid w:val="00443370"/>
    <w:rsid w:val="0044501E"/>
    <w:rsid w:val="00445206"/>
    <w:rsid w:val="00445967"/>
    <w:rsid w:val="004509BB"/>
    <w:rsid w:val="00454EB9"/>
    <w:rsid w:val="0046224F"/>
    <w:rsid w:val="004651D6"/>
    <w:rsid w:val="00467B42"/>
    <w:rsid w:val="00472C9D"/>
    <w:rsid w:val="00481CF8"/>
    <w:rsid w:val="004903C6"/>
    <w:rsid w:val="00491138"/>
    <w:rsid w:val="004927DC"/>
    <w:rsid w:val="00492C2D"/>
    <w:rsid w:val="004A083D"/>
    <w:rsid w:val="004A3D87"/>
    <w:rsid w:val="004A4B24"/>
    <w:rsid w:val="004A5709"/>
    <w:rsid w:val="004A5A63"/>
    <w:rsid w:val="004B00A7"/>
    <w:rsid w:val="004B18A9"/>
    <w:rsid w:val="004C1F9B"/>
    <w:rsid w:val="004C61F7"/>
    <w:rsid w:val="004C6DA8"/>
    <w:rsid w:val="004D1946"/>
    <w:rsid w:val="004D4796"/>
    <w:rsid w:val="004D4F8C"/>
    <w:rsid w:val="004D5DEF"/>
    <w:rsid w:val="004D651E"/>
    <w:rsid w:val="004D6B86"/>
    <w:rsid w:val="004D77A4"/>
    <w:rsid w:val="004E092B"/>
    <w:rsid w:val="004E460A"/>
    <w:rsid w:val="004E5581"/>
    <w:rsid w:val="004E57E3"/>
    <w:rsid w:val="004F39B9"/>
    <w:rsid w:val="004F3EC2"/>
    <w:rsid w:val="005032E5"/>
    <w:rsid w:val="005043E8"/>
    <w:rsid w:val="00504912"/>
    <w:rsid w:val="00504F88"/>
    <w:rsid w:val="005115DA"/>
    <w:rsid w:val="00522FC4"/>
    <w:rsid w:val="005251D0"/>
    <w:rsid w:val="005252A5"/>
    <w:rsid w:val="00533B95"/>
    <w:rsid w:val="005363BA"/>
    <w:rsid w:val="005407A7"/>
    <w:rsid w:val="00541F3A"/>
    <w:rsid w:val="0054284F"/>
    <w:rsid w:val="00546689"/>
    <w:rsid w:val="00550D48"/>
    <w:rsid w:val="0055242C"/>
    <w:rsid w:val="005564BB"/>
    <w:rsid w:val="005577E0"/>
    <w:rsid w:val="005750B8"/>
    <w:rsid w:val="00587A2C"/>
    <w:rsid w:val="00594540"/>
    <w:rsid w:val="00595412"/>
    <w:rsid w:val="00596743"/>
    <w:rsid w:val="00597D2D"/>
    <w:rsid w:val="005A2108"/>
    <w:rsid w:val="005A38DC"/>
    <w:rsid w:val="005A5F99"/>
    <w:rsid w:val="005A71D8"/>
    <w:rsid w:val="005B1E34"/>
    <w:rsid w:val="005B4B1B"/>
    <w:rsid w:val="005C2926"/>
    <w:rsid w:val="005C39B5"/>
    <w:rsid w:val="005C39C7"/>
    <w:rsid w:val="005C5503"/>
    <w:rsid w:val="005C59DF"/>
    <w:rsid w:val="005C7FDA"/>
    <w:rsid w:val="005D454A"/>
    <w:rsid w:val="005D62F1"/>
    <w:rsid w:val="005E146D"/>
    <w:rsid w:val="005E2AF0"/>
    <w:rsid w:val="005E39B5"/>
    <w:rsid w:val="005E3CC0"/>
    <w:rsid w:val="005E6BD9"/>
    <w:rsid w:val="005F07B9"/>
    <w:rsid w:val="005F6022"/>
    <w:rsid w:val="005F7AFA"/>
    <w:rsid w:val="00601928"/>
    <w:rsid w:val="00601C26"/>
    <w:rsid w:val="006030E8"/>
    <w:rsid w:val="00616150"/>
    <w:rsid w:val="0061747E"/>
    <w:rsid w:val="00622DB1"/>
    <w:rsid w:val="0063110A"/>
    <w:rsid w:val="006317A9"/>
    <w:rsid w:val="006335AA"/>
    <w:rsid w:val="00635BCD"/>
    <w:rsid w:val="00641876"/>
    <w:rsid w:val="00641FEF"/>
    <w:rsid w:val="00645290"/>
    <w:rsid w:val="0065273C"/>
    <w:rsid w:val="00655675"/>
    <w:rsid w:val="00661697"/>
    <w:rsid w:val="00666034"/>
    <w:rsid w:val="00666A49"/>
    <w:rsid w:val="006670F5"/>
    <w:rsid w:val="0066759D"/>
    <w:rsid w:val="006712C1"/>
    <w:rsid w:val="006720CF"/>
    <w:rsid w:val="0067508A"/>
    <w:rsid w:val="006803F6"/>
    <w:rsid w:val="00684C26"/>
    <w:rsid w:val="00684C49"/>
    <w:rsid w:val="00691F6C"/>
    <w:rsid w:val="00692289"/>
    <w:rsid w:val="00693F0F"/>
    <w:rsid w:val="00694167"/>
    <w:rsid w:val="00694BA0"/>
    <w:rsid w:val="006A0B47"/>
    <w:rsid w:val="006A23B9"/>
    <w:rsid w:val="006A3296"/>
    <w:rsid w:val="006A3C38"/>
    <w:rsid w:val="006B015B"/>
    <w:rsid w:val="006B2D09"/>
    <w:rsid w:val="006B5918"/>
    <w:rsid w:val="006B645A"/>
    <w:rsid w:val="006C0C2E"/>
    <w:rsid w:val="006C162F"/>
    <w:rsid w:val="006C16FE"/>
    <w:rsid w:val="006C3146"/>
    <w:rsid w:val="006C319A"/>
    <w:rsid w:val="006D08F0"/>
    <w:rsid w:val="006D6D36"/>
    <w:rsid w:val="006D79A9"/>
    <w:rsid w:val="006D7EE9"/>
    <w:rsid w:val="006E51BC"/>
    <w:rsid w:val="006F04EF"/>
    <w:rsid w:val="006F0AFE"/>
    <w:rsid w:val="006F70A1"/>
    <w:rsid w:val="007005B2"/>
    <w:rsid w:val="00704D32"/>
    <w:rsid w:val="0070644D"/>
    <w:rsid w:val="00711E8A"/>
    <w:rsid w:val="007131A7"/>
    <w:rsid w:val="007145F5"/>
    <w:rsid w:val="0072228E"/>
    <w:rsid w:val="007244DE"/>
    <w:rsid w:val="00733292"/>
    <w:rsid w:val="0073645A"/>
    <w:rsid w:val="00742717"/>
    <w:rsid w:val="0074616A"/>
    <w:rsid w:val="007464B0"/>
    <w:rsid w:val="007507E1"/>
    <w:rsid w:val="00750E24"/>
    <w:rsid w:val="007551D6"/>
    <w:rsid w:val="0075557C"/>
    <w:rsid w:val="007566F9"/>
    <w:rsid w:val="00757AC4"/>
    <w:rsid w:val="00762CD6"/>
    <w:rsid w:val="007637C8"/>
    <w:rsid w:val="00765745"/>
    <w:rsid w:val="00767401"/>
    <w:rsid w:val="0077432A"/>
    <w:rsid w:val="00774853"/>
    <w:rsid w:val="0077498E"/>
    <w:rsid w:val="007772E7"/>
    <w:rsid w:val="00787EBE"/>
    <w:rsid w:val="00790089"/>
    <w:rsid w:val="007901C4"/>
    <w:rsid w:val="007A1D8E"/>
    <w:rsid w:val="007A4A42"/>
    <w:rsid w:val="007A5C4C"/>
    <w:rsid w:val="007B21F0"/>
    <w:rsid w:val="007B3E55"/>
    <w:rsid w:val="007B58E9"/>
    <w:rsid w:val="007B7FEC"/>
    <w:rsid w:val="007C0EB7"/>
    <w:rsid w:val="007D317E"/>
    <w:rsid w:val="007E3A67"/>
    <w:rsid w:val="007E6C52"/>
    <w:rsid w:val="007F2742"/>
    <w:rsid w:val="007F2AD5"/>
    <w:rsid w:val="00803B05"/>
    <w:rsid w:val="00804732"/>
    <w:rsid w:val="00807CCF"/>
    <w:rsid w:val="008112E7"/>
    <w:rsid w:val="00812897"/>
    <w:rsid w:val="0081390C"/>
    <w:rsid w:val="0081545E"/>
    <w:rsid w:val="00816582"/>
    <w:rsid w:val="00816831"/>
    <w:rsid w:val="00816D5C"/>
    <w:rsid w:val="00820686"/>
    <w:rsid w:val="00825374"/>
    <w:rsid w:val="00825C92"/>
    <w:rsid w:val="008266D0"/>
    <w:rsid w:val="00830E55"/>
    <w:rsid w:val="008322FD"/>
    <w:rsid w:val="00834B4A"/>
    <w:rsid w:val="00836A00"/>
    <w:rsid w:val="00837D67"/>
    <w:rsid w:val="0084065F"/>
    <w:rsid w:val="008456BE"/>
    <w:rsid w:val="00846C8F"/>
    <w:rsid w:val="00854223"/>
    <w:rsid w:val="00854BB5"/>
    <w:rsid w:val="008576A6"/>
    <w:rsid w:val="0086311F"/>
    <w:rsid w:val="00863965"/>
    <w:rsid w:val="00864C85"/>
    <w:rsid w:val="008661C4"/>
    <w:rsid w:val="008663F9"/>
    <w:rsid w:val="00866DFD"/>
    <w:rsid w:val="00873CEF"/>
    <w:rsid w:val="00873F35"/>
    <w:rsid w:val="008747E8"/>
    <w:rsid w:val="008749E0"/>
    <w:rsid w:val="00876326"/>
    <w:rsid w:val="00881421"/>
    <w:rsid w:val="0088293D"/>
    <w:rsid w:val="008838B4"/>
    <w:rsid w:val="00884507"/>
    <w:rsid w:val="008859ED"/>
    <w:rsid w:val="008915E7"/>
    <w:rsid w:val="00897680"/>
    <w:rsid w:val="008A1B47"/>
    <w:rsid w:val="008A2A83"/>
    <w:rsid w:val="008A5409"/>
    <w:rsid w:val="008A7817"/>
    <w:rsid w:val="008A78F1"/>
    <w:rsid w:val="008B0968"/>
    <w:rsid w:val="008B2D78"/>
    <w:rsid w:val="008B2D80"/>
    <w:rsid w:val="008B4AB1"/>
    <w:rsid w:val="008B4C53"/>
    <w:rsid w:val="008B795A"/>
    <w:rsid w:val="008C51DD"/>
    <w:rsid w:val="008D2D0D"/>
    <w:rsid w:val="008D71E8"/>
    <w:rsid w:val="008E43D5"/>
    <w:rsid w:val="008F0781"/>
    <w:rsid w:val="008F28B8"/>
    <w:rsid w:val="008F60DC"/>
    <w:rsid w:val="008F6315"/>
    <w:rsid w:val="008F6C97"/>
    <w:rsid w:val="00900353"/>
    <w:rsid w:val="0091071E"/>
    <w:rsid w:val="00910F0E"/>
    <w:rsid w:val="00912681"/>
    <w:rsid w:val="00920BDC"/>
    <w:rsid w:val="00921A9E"/>
    <w:rsid w:val="009227A4"/>
    <w:rsid w:val="00932ABC"/>
    <w:rsid w:val="0093407F"/>
    <w:rsid w:val="009350F1"/>
    <w:rsid w:val="00935133"/>
    <w:rsid w:val="009357AB"/>
    <w:rsid w:val="009359B9"/>
    <w:rsid w:val="0093600B"/>
    <w:rsid w:val="0094299C"/>
    <w:rsid w:val="00954144"/>
    <w:rsid w:val="00956924"/>
    <w:rsid w:val="00961AE5"/>
    <w:rsid w:val="00965E79"/>
    <w:rsid w:val="00965F09"/>
    <w:rsid w:val="00973EB4"/>
    <w:rsid w:val="00977059"/>
    <w:rsid w:val="00981D1B"/>
    <w:rsid w:val="009861C2"/>
    <w:rsid w:val="00986B98"/>
    <w:rsid w:val="00991BB3"/>
    <w:rsid w:val="009932FA"/>
    <w:rsid w:val="009941E0"/>
    <w:rsid w:val="009A0E25"/>
    <w:rsid w:val="009A2967"/>
    <w:rsid w:val="009A2C38"/>
    <w:rsid w:val="009A4420"/>
    <w:rsid w:val="009A47F0"/>
    <w:rsid w:val="009A533B"/>
    <w:rsid w:val="009B4436"/>
    <w:rsid w:val="009B5018"/>
    <w:rsid w:val="009C1BCE"/>
    <w:rsid w:val="009C2F34"/>
    <w:rsid w:val="009C55DC"/>
    <w:rsid w:val="009C7D75"/>
    <w:rsid w:val="009D27F3"/>
    <w:rsid w:val="009D458C"/>
    <w:rsid w:val="009D631D"/>
    <w:rsid w:val="009D6DE9"/>
    <w:rsid w:val="009E05C6"/>
    <w:rsid w:val="009E4701"/>
    <w:rsid w:val="009E7DEB"/>
    <w:rsid w:val="009F0414"/>
    <w:rsid w:val="009F1F26"/>
    <w:rsid w:val="009F2C9F"/>
    <w:rsid w:val="009F4FBD"/>
    <w:rsid w:val="009F56CA"/>
    <w:rsid w:val="009F75C5"/>
    <w:rsid w:val="00A0762E"/>
    <w:rsid w:val="00A12957"/>
    <w:rsid w:val="00A22036"/>
    <w:rsid w:val="00A23461"/>
    <w:rsid w:val="00A26464"/>
    <w:rsid w:val="00A33273"/>
    <w:rsid w:val="00A429B6"/>
    <w:rsid w:val="00A44747"/>
    <w:rsid w:val="00A4757D"/>
    <w:rsid w:val="00A5376C"/>
    <w:rsid w:val="00A57067"/>
    <w:rsid w:val="00A63948"/>
    <w:rsid w:val="00A66620"/>
    <w:rsid w:val="00A66FA9"/>
    <w:rsid w:val="00A67212"/>
    <w:rsid w:val="00A7067D"/>
    <w:rsid w:val="00A77F6B"/>
    <w:rsid w:val="00A805E7"/>
    <w:rsid w:val="00A8109A"/>
    <w:rsid w:val="00A81BB2"/>
    <w:rsid w:val="00A85DDC"/>
    <w:rsid w:val="00A9180D"/>
    <w:rsid w:val="00A93A29"/>
    <w:rsid w:val="00A963FE"/>
    <w:rsid w:val="00AA28B7"/>
    <w:rsid w:val="00AA5C05"/>
    <w:rsid w:val="00AB01AF"/>
    <w:rsid w:val="00AC2C77"/>
    <w:rsid w:val="00AC33A6"/>
    <w:rsid w:val="00AC6544"/>
    <w:rsid w:val="00AD0333"/>
    <w:rsid w:val="00AD0831"/>
    <w:rsid w:val="00AD6249"/>
    <w:rsid w:val="00AE30D3"/>
    <w:rsid w:val="00AE696A"/>
    <w:rsid w:val="00AF3318"/>
    <w:rsid w:val="00AF33A0"/>
    <w:rsid w:val="00AF466A"/>
    <w:rsid w:val="00AF64AD"/>
    <w:rsid w:val="00AF6A67"/>
    <w:rsid w:val="00AF74B0"/>
    <w:rsid w:val="00B01C0E"/>
    <w:rsid w:val="00B021CB"/>
    <w:rsid w:val="00B02D00"/>
    <w:rsid w:val="00B031CE"/>
    <w:rsid w:val="00B03BA4"/>
    <w:rsid w:val="00B049CE"/>
    <w:rsid w:val="00B13A1B"/>
    <w:rsid w:val="00B13B9C"/>
    <w:rsid w:val="00B17A35"/>
    <w:rsid w:val="00B17FA5"/>
    <w:rsid w:val="00B203B9"/>
    <w:rsid w:val="00B20BCA"/>
    <w:rsid w:val="00B2123B"/>
    <w:rsid w:val="00B217F6"/>
    <w:rsid w:val="00B22EC2"/>
    <w:rsid w:val="00B272DB"/>
    <w:rsid w:val="00B36D38"/>
    <w:rsid w:val="00B4000F"/>
    <w:rsid w:val="00B424DD"/>
    <w:rsid w:val="00B45BFE"/>
    <w:rsid w:val="00B479D0"/>
    <w:rsid w:val="00B47D94"/>
    <w:rsid w:val="00B53427"/>
    <w:rsid w:val="00B570BA"/>
    <w:rsid w:val="00B603DF"/>
    <w:rsid w:val="00B62C90"/>
    <w:rsid w:val="00B62ECE"/>
    <w:rsid w:val="00B65A89"/>
    <w:rsid w:val="00B668D0"/>
    <w:rsid w:val="00B70D2A"/>
    <w:rsid w:val="00B711B3"/>
    <w:rsid w:val="00B71AF2"/>
    <w:rsid w:val="00B72231"/>
    <w:rsid w:val="00B736C8"/>
    <w:rsid w:val="00B75F2C"/>
    <w:rsid w:val="00B80E52"/>
    <w:rsid w:val="00B83C63"/>
    <w:rsid w:val="00B855F7"/>
    <w:rsid w:val="00B91BE0"/>
    <w:rsid w:val="00B9509A"/>
    <w:rsid w:val="00B951AA"/>
    <w:rsid w:val="00B95DF5"/>
    <w:rsid w:val="00B97A1B"/>
    <w:rsid w:val="00BA49FA"/>
    <w:rsid w:val="00BA6923"/>
    <w:rsid w:val="00BB000C"/>
    <w:rsid w:val="00BB0DB2"/>
    <w:rsid w:val="00BB3359"/>
    <w:rsid w:val="00BC1040"/>
    <w:rsid w:val="00BC526C"/>
    <w:rsid w:val="00BD1DBE"/>
    <w:rsid w:val="00BD33F8"/>
    <w:rsid w:val="00BD6276"/>
    <w:rsid w:val="00BD72A7"/>
    <w:rsid w:val="00BE1570"/>
    <w:rsid w:val="00BE6CF9"/>
    <w:rsid w:val="00BE7DAA"/>
    <w:rsid w:val="00BF02BD"/>
    <w:rsid w:val="00BF22C5"/>
    <w:rsid w:val="00BF4A01"/>
    <w:rsid w:val="00BF7088"/>
    <w:rsid w:val="00C019AB"/>
    <w:rsid w:val="00C0241F"/>
    <w:rsid w:val="00C13D86"/>
    <w:rsid w:val="00C14270"/>
    <w:rsid w:val="00C31E76"/>
    <w:rsid w:val="00C33468"/>
    <w:rsid w:val="00C3438C"/>
    <w:rsid w:val="00C366D5"/>
    <w:rsid w:val="00C37605"/>
    <w:rsid w:val="00C458D1"/>
    <w:rsid w:val="00C462CC"/>
    <w:rsid w:val="00C46F80"/>
    <w:rsid w:val="00C474C0"/>
    <w:rsid w:val="00C53A41"/>
    <w:rsid w:val="00C5686B"/>
    <w:rsid w:val="00C60398"/>
    <w:rsid w:val="00C661FA"/>
    <w:rsid w:val="00C71573"/>
    <w:rsid w:val="00C74024"/>
    <w:rsid w:val="00C81DF9"/>
    <w:rsid w:val="00C83B15"/>
    <w:rsid w:val="00C8512A"/>
    <w:rsid w:val="00C85F26"/>
    <w:rsid w:val="00C925C8"/>
    <w:rsid w:val="00C9663A"/>
    <w:rsid w:val="00C96D4B"/>
    <w:rsid w:val="00CA21AB"/>
    <w:rsid w:val="00CA3740"/>
    <w:rsid w:val="00CA59AF"/>
    <w:rsid w:val="00CA66AA"/>
    <w:rsid w:val="00CB005A"/>
    <w:rsid w:val="00CB11CB"/>
    <w:rsid w:val="00CB15CB"/>
    <w:rsid w:val="00CB455B"/>
    <w:rsid w:val="00CB7F84"/>
    <w:rsid w:val="00CC0422"/>
    <w:rsid w:val="00CC1605"/>
    <w:rsid w:val="00CC22FE"/>
    <w:rsid w:val="00CC2DD3"/>
    <w:rsid w:val="00CC690D"/>
    <w:rsid w:val="00CC7697"/>
    <w:rsid w:val="00CD29D9"/>
    <w:rsid w:val="00CD42A4"/>
    <w:rsid w:val="00CD5717"/>
    <w:rsid w:val="00CE1F92"/>
    <w:rsid w:val="00CE23D6"/>
    <w:rsid w:val="00CE2CFE"/>
    <w:rsid w:val="00CE2E12"/>
    <w:rsid w:val="00CE2F42"/>
    <w:rsid w:val="00CE527F"/>
    <w:rsid w:val="00CE74E6"/>
    <w:rsid w:val="00CF1B55"/>
    <w:rsid w:val="00CF2175"/>
    <w:rsid w:val="00CF2535"/>
    <w:rsid w:val="00CF3AE4"/>
    <w:rsid w:val="00CF5D2C"/>
    <w:rsid w:val="00CF7AD5"/>
    <w:rsid w:val="00D01C8B"/>
    <w:rsid w:val="00D01D52"/>
    <w:rsid w:val="00D040F4"/>
    <w:rsid w:val="00D068FB"/>
    <w:rsid w:val="00D07838"/>
    <w:rsid w:val="00D130BC"/>
    <w:rsid w:val="00D16CE1"/>
    <w:rsid w:val="00D200D2"/>
    <w:rsid w:val="00D2072C"/>
    <w:rsid w:val="00D207C0"/>
    <w:rsid w:val="00D224BD"/>
    <w:rsid w:val="00D229CC"/>
    <w:rsid w:val="00D22E1F"/>
    <w:rsid w:val="00D24FC6"/>
    <w:rsid w:val="00D25B5C"/>
    <w:rsid w:val="00D31C1C"/>
    <w:rsid w:val="00D34D43"/>
    <w:rsid w:val="00D360C7"/>
    <w:rsid w:val="00D40EED"/>
    <w:rsid w:val="00D44FDC"/>
    <w:rsid w:val="00D4688B"/>
    <w:rsid w:val="00D51C03"/>
    <w:rsid w:val="00D525F9"/>
    <w:rsid w:val="00D55491"/>
    <w:rsid w:val="00D57E13"/>
    <w:rsid w:val="00D60082"/>
    <w:rsid w:val="00D60F9B"/>
    <w:rsid w:val="00D62FF1"/>
    <w:rsid w:val="00D63950"/>
    <w:rsid w:val="00D66735"/>
    <w:rsid w:val="00D6779D"/>
    <w:rsid w:val="00D730D1"/>
    <w:rsid w:val="00D74893"/>
    <w:rsid w:val="00D80BEF"/>
    <w:rsid w:val="00D80CC3"/>
    <w:rsid w:val="00D854E8"/>
    <w:rsid w:val="00D858BE"/>
    <w:rsid w:val="00D91F52"/>
    <w:rsid w:val="00D93CF5"/>
    <w:rsid w:val="00D951CC"/>
    <w:rsid w:val="00DA0216"/>
    <w:rsid w:val="00DA210F"/>
    <w:rsid w:val="00DA2258"/>
    <w:rsid w:val="00DB2E59"/>
    <w:rsid w:val="00DB358F"/>
    <w:rsid w:val="00DC17C0"/>
    <w:rsid w:val="00DC44F1"/>
    <w:rsid w:val="00DC67D7"/>
    <w:rsid w:val="00DD01B9"/>
    <w:rsid w:val="00DD0E39"/>
    <w:rsid w:val="00DD1F52"/>
    <w:rsid w:val="00DD472A"/>
    <w:rsid w:val="00DD48D6"/>
    <w:rsid w:val="00DD7AC4"/>
    <w:rsid w:val="00DE214B"/>
    <w:rsid w:val="00DE33E2"/>
    <w:rsid w:val="00DE6666"/>
    <w:rsid w:val="00DF431E"/>
    <w:rsid w:val="00DF4E73"/>
    <w:rsid w:val="00DF6D26"/>
    <w:rsid w:val="00E0048D"/>
    <w:rsid w:val="00E113A5"/>
    <w:rsid w:val="00E1273A"/>
    <w:rsid w:val="00E13145"/>
    <w:rsid w:val="00E131C3"/>
    <w:rsid w:val="00E201D5"/>
    <w:rsid w:val="00E23F70"/>
    <w:rsid w:val="00E241BF"/>
    <w:rsid w:val="00E2495B"/>
    <w:rsid w:val="00E25B3C"/>
    <w:rsid w:val="00E27023"/>
    <w:rsid w:val="00E274C6"/>
    <w:rsid w:val="00E37529"/>
    <w:rsid w:val="00E41FDB"/>
    <w:rsid w:val="00E47154"/>
    <w:rsid w:val="00E5169D"/>
    <w:rsid w:val="00E543CD"/>
    <w:rsid w:val="00E56FDF"/>
    <w:rsid w:val="00E61066"/>
    <w:rsid w:val="00E62BA1"/>
    <w:rsid w:val="00E7305D"/>
    <w:rsid w:val="00E7352A"/>
    <w:rsid w:val="00E73612"/>
    <w:rsid w:val="00E741B1"/>
    <w:rsid w:val="00E74257"/>
    <w:rsid w:val="00E74804"/>
    <w:rsid w:val="00E75A61"/>
    <w:rsid w:val="00E83A27"/>
    <w:rsid w:val="00E83A37"/>
    <w:rsid w:val="00E84F54"/>
    <w:rsid w:val="00E97657"/>
    <w:rsid w:val="00EA1A49"/>
    <w:rsid w:val="00EA4FFF"/>
    <w:rsid w:val="00EA780C"/>
    <w:rsid w:val="00EA7884"/>
    <w:rsid w:val="00EB2395"/>
    <w:rsid w:val="00EB69D3"/>
    <w:rsid w:val="00EC20E4"/>
    <w:rsid w:val="00EC2916"/>
    <w:rsid w:val="00EC4C94"/>
    <w:rsid w:val="00ED1F43"/>
    <w:rsid w:val="00ED3DA1"/>
    <w:rsid w:val="00ED5C0F"/>
    <w:rsid w:val="00ED605A"/>
    <w:rsid w:val="00ED6D9B"/>
    <w:rsid w:val="00ED70C8"/>
    <w:rsid w:val="00ED7182"/>
    <w:rsid w:val="00EE4C55"/>
    <w:rsid w:val="00EF12A1"/>
    <w:rsid w:val="00EF340C"/>
    <w:rsid w:val="00EF4B09"/>
    <w:rsid w:val="00EF6113"/>
    <w:rsid w:val="00EF7604"/>
    <w:rsid w:val="00EF7EB7"/>
    <w:rsid w:val="00F01ACB"/>
    <w:rsid w:val="00F023CA"/>
    <w:rsid w:val="00F037F0"/>
    <w:rsid w:val="00F0681E"/>
    <w:rsid w:val="00F129DE"/>
    <w:rsid w:val="00F13D40"/>
    <w:rsid w:val="00F13D80"/>
    <w:rsid w:val="00F16BB0"/>
    <w:rsid w:val="00F16ED5"/>
    <w:rsid w:val="00F22977"/>
    <w:rsid w:val="00F22AE0"/>
    <w:rsid w:val="00F2776B"/>
    <w:rsid w:val="00F27787"/>
    <w:rsid w:val="00F30FCD"/>
    <w:rsid w:val="00F31D66"/>
    <w:rsid w:val="00F363EC"/>
    <w:rsid w:val="00F37695"/>
    <w:rsid w:val="00F40661"/>
    <w:rsid w:val="00F409CB"/>
    <w:rsid w:val="00F413AC"/>
    <w:rsid w:val="00F4320D"/>
    <w:rsid w:val="00F47120"/>
    <w:rsid w:val="00F50B43"/>
    <w:rsid w:val="00F529DA"/>
    <w:rsid w:val="00F56746"/>
    <w:rsid w:val="00F64578"/>
    <w:rsid w:val="00F7082F"/>
    <w:rsid w:val="00F7213B"/>
    <w:rsid w:val="00F72C4F"/>
    <w:rsid w:val="00F76212"/>
    <w:rsid w:val="00F76987"/>
    <w:rsid w:val="00F779B4"/>
    <w:rsid w:val="00F81F44"/>
    <w:rsid w:val="00F82838"/>
    <w:rsid w:val="00F852A5"/>
    <w:rsid w:val="00F86B6E"/>
    <w:rsid w:val="00F92038"/>
    <w:rsid w:val="00F92417"/>
    <w:rsid w:val="00F93785"/>
    <w:rsid w:val="00F9677B"/>
    <w:rsid w:val="00F96C6B"/>
    <w:rsid w:val="00F96E77"/>
    <w:rsid w:val="00F97E4A"/>
    <w:rsid w:val="00FA0279"/>
    <w:rsid w:val="00FA0A94"/>
    <w:rsid w:val="00FA424F"/>
    <w:rsid w:val="00FB0398"/>
    <w:rsid w:val="00FB17AE"/>
    <w:rsid w:val="00FB6AA8"/>
    <w:rsid w:val="00FC10F3"/>
    <w:rsid w:val="00FC2D1A"/>
    <w:rsid w:val="00FC2D7D"/>
    <w:rsid w:val="00FC4436"/>
    <w:rsid w:val="00FC512B"/>
    <w:rsid w:val="00FC633C"/>
    <w:rsid w:val="00FD054D"/>
    <w:rsid w:val="00FD0F46"/>
    <w:rsid w:val="00FD22F7"/>
    <w:rsid w:val="00FD77F4"/>
    <w:rsid w:val="00FD79F2"/>
    <w:rsid w:val="00FE49B3"/>
    <w:rsid w:val="00FE4A93"/>
    <w:rsid w:val="00FE6502"/>
    <w:rsid w:val="00FE725C"/>
    <w:rsid w:val="00FF1A08"/>
    <w:rsid w:val="00FF448F"/>
    <w:rsid w:val="00FF5356"/>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6BDF7A"/>
  <w15:chartTrackingRefBased/>
  <w15:docId w15:val="{D2CD9A51-929D-494F-8E10-7A80D083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5" w:qFormat="1"/>
    <w:lsdException w:name="heading 8" w:semiHidden="1" w:uiPriority="5" w:qFormat="1"/>
    <w:lsdException w:name="heading 9" w:semiHidden="1" w:uiPriority="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231"/>
  </w:style>
  <w:style w:type="paragraph" w:styleId="Heading1">
    <w:name w:val="heading 1"/>
    <w:basedOn w:val="Normal"/>
    <w:next w:val="Normal"/>
    <w:link w:val="Heading1Char"/>
    <w:uiPriority w:val="5"/>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5"/>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5"/>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5"/>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5"/>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5"/>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qFormat/>
    <w:pPr>
      <w:spacing w:line="240" w:lineRule="auto"/>
      <w:ind w:firstLine="0"/>
    </w:pPr>
  </w:style>
  <w:style w:type="character" w:customStyle="1" w:styleId="HeaderChar">
    <w:name w:val="Header Char"/>
    <w:basedOn w:val="DefaultParagraphFont"/>
    <w:link w:val="Header"/>
    <w:uiPriority w:val="99"/>
    <w:rsid w:val="00DB2E59"/>
  </w:style>
  <w:style w:type="character" w:styleId="PlaceholderText">
    <w:name w:val="Placeholder Text"/>
    <w:basedOn w:val="DefaultParagraphFont"/>
    <w:uiPriority w:val="99"/>
    <w:semiHidden/>
    <w:rsid w:val="00EB69D3"/>
    <w:rPr>
      <w:color w:val="000000" w:themeColor="text1"/>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5"/>
    <w:rsid w:val="00DB2E59"/>
    <w:rPr>
      <w:rFonts w:asciiTheme="majorHAnsi" w:eastAsiaTheme="majorEastAsia" w:hAnsiTheme="majorHAnsi" w:cstheme="majorBidi"/>
      <w:b/>
      <w:bCs/>
    </w:rPr>
  </w:style>
  <w:style w:type="character" w:customStyle="1" w:styleId="Heading2Char">
    <w:name w:val="Heading 2 Char"/>
    <w:basedOn w:val="DefaultParagraphFont"/>
    <w:link w:val="Heading2"/>
    <w:uiPriority w:val="5"/>
    <w:rsid w:val="00DB2E59"/>
    <w:rPr>
      <w:rFonts w:asciiTheme="majorHAnsi" w:eastAsiaTheme="majorEastAsia" w:hAnsiTheme="majorHAnsi" w:cstheme="majorBidi"/>
      <w:b/>
      <w:bCs/>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rPr>
  </w:style>
  <w:style w:type="character" w:styleId="Emphasis">
    <w:name w:val="Emphasis"/>
    <w:basedOn w:val="DefaultParagraphFont"/>
    <w:uiPriority w:val="4"/>
    <w:qFormat/>
    <w:rPr>
      <w:i/>
      <w:iCs/>
    </w:rPr>
  </w:style>
  <w:style w:type="character" w:customStyle="1" w:styleId="Heading3Char">
    <w:name w:val="Heading 3 Char"/>
    <w:basedOn w:val="DefaultParagraphFont"/>
    <w:link w:val="Heading3"/>
    <w:uiPriority w:val="5"/>
    <w:rsid w:val="00DB2E59"/>
    <w:rPr>
      <w:rFonts w:asciiTheme="majorHAnsi" w:eastAsiaTheme="majorEastAsia" w:hAnsiTheme="majorHAnsi" w:cstheme="majorBidi"/>
      <w:b/>
      <w:bCs/>
    </w:rPr>
  </w:style>
  <w:style w:type="character" w:customStyle="1" w:styleId="Heading4Char">
    <w:name w:val="Heading 4 Char"/>
    <w:basedOn w:val="DefaultParagraphFont"/>
    <w:link w:val="Heading4"/>
    <w:uiPriority w:val="5"/>
    <w:rsid w:val="00DB2E5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5"/>
    <w:rsid w:val="00DB2E59"/>
    <w:rPr>
      <w:rFonts w:asciiTheme="majorHAnsi" w:eastAsiaTheme="majorEastAsia" w:hAnsiTheme="majorHAnsi" w:cstheme="majorBidi"/>
      <w:i/>
      <w:iCs/>
    </w:rPr>
  </w:style>
  <w:style w:type="paragraph" w:styleId="BalloonText">
    <w:name w:val="Balloon Text"/>
    <w:basedOn w:val="Normal"/>
    <w:link w:val="BalloonTextChar"/>
    <w:uiPriority w:val="99"/>
    <w:semiHidden/>
    <w:unhideWhenUsed/>
    <w:rsid w:val="00EB69D3"/>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B69D3"/>
    <w:rPr>
      <w:rFonts w:ascii="Segoe UI" w:hAnsi="Segoe UI" w:cs="Segoe UI"/>
      <w:sz w:val="22"/>
      <w:szCs w:val="18"/>
    </w:rPr>
  </w:style>
  <w:style w:type="paragraph" w:styleId="Bibliography">
    <w:name w:val="Bibliography"/>
    <w:basedOn w:val="Normal"/>
    <w:next w:val="Normal"/>
    <w:uiPriority w:val="6"/>
    <w:unhideWhenUsed/>
    <w:qFormat/>
    <w:pPr>
      <w:ind w:left="720" w:hanging="720"/>
    </w:pPr>
  </w:style>
  <w:style w:type="paragraph" w:styleId="BlockText">
    <w:name w:val="Block Text"/>
    <w:basedOn w:val="Normal"/>
    <w:uiPriority w:val="99"/>
    <w:semiHidden/>
    <w:unhideWhenUsed/>
    <w:rsid w:val="003F7CBD"/>
    <w:pPr>
      <w:pBdr>
        <w:top w:val="single" w:sz="2" w:space="10" w:color="000000" w:themeColor="text2" w:shadow="1"/>
        <w:left w:val="single" w:sz="2" w:space="10" w:color="000000" w:themeColor="text2" w:shadow="1"/>
        <w:bottom w:val="single" w:sz="2" w:space="10" w:color="000000" w:themeColor="text2" w:shadow="1"/>
        <w:right w:val="single" w:sz="2" w:space="10" w:color="000000" w:themeColor="text2" w:shadow="1"/>
      </w:pBdr>
      <w:ind w:left="1152" w:right="1152" w:firstLine="0"/>
    </w:pPr>
    <w:rPr>
      <w:i/>
      <w:iCs/>
      <w:color w:val="000000" w:themeColor="text2"/>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EB69D3"/>
    <w:pPr>
      <w:spacing w:after="120"/>
      <w:ind w:firstLine="0"/>
    </w:pPr>
    <w:rPr>
      <w:sz w:val="22"/>
      <w:szCs w:val="16"/>
    </w:rPr>
  </w:style>
  <w:style w:type="character" w:customStyle="1" w:styleId="BodyText3Char">
    <w:name w:val="Body Text 3 Char"/>
    <w:basedOn w:val="DefaultParagraphFont"/>
    <w:link w:val="BodyText3"/>
    <w:uiPriority w:val="99"/>
    <w:semiHidden/>
    <w:rsid w:val="00EB69D3"/>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EB69D3"/>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B69D3"/>
    <w:rPr>
      <w:sz w:val="22"/>
      <w:szCs w:val="16"/>
    </w:rPr>
  </w:style>
  <w:style w:type="paragraph" w:styleId="Caption">
    <w:name w:val="caption"/>
    <w:basedOn w:val="Normal"/>
    <w:next w:val="Normal"/>
    <w:uiPriority w:val="35"/>
    <w:semiHidden/>
    <w:unhideWhenUsed/>
    <w:qFormat/>
    <w:rsid w:val="00EB69D3"/>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EB69D3"/>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B69D3"/>
    <w:rPr>
      <w:sz w:val="22"/>
      <w:szCs w:val="20"/>
    </w:rPr>
  </w:style>
  <w:style w:type="paragraph" w:styleId="CommentSubject">
    <w:name w:val="annotation subject"/>
    <w:basedOn w:val="CommentText"/>
    <w:next w:val="CommentText"/>
    <w:link w:val="CommentSubjectChar"/>
    <w:uiPriority w:val="99"/>
    <w:semiHidden/>
    <w:unhideWhenUsed/>
    <w:rsid w:val="00EB69D3"/>
    <w:rPr>
      <w:b/>
      <w:bCs/>
    </w:rPr>
  </w:style>
  <w:style w:type="character" w:customStyle="1" w:styleId="CommentSubjectChar">
    <w:name w:val="Comment Subject Char"/>
    <w:basedOn w:val="CommentTextChar"/>
    <w:link w:val="CommentSubject"/>
    <w:uiPriority w:val="99"/>
    <w:semiHidden/>
    <w:rsid w:val="00EB69D3"/>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EB69D3"/>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B69D3"/>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unhideWhenUsed/>
    <w:rsid w:val="00EB69D3"/>
    <w:pPr>
      <w:spacing w:line="240" w:lineRule="auto"/>
    </w:pPr>
    <w:rPr>
      <w:sz w:val="22"/>
      <w:szCs w:val="20"/>
    </w:rPr>
  </w:style>
  <w:style w:type="character" w:customStyle="1" w:styleId="FootnoteTextChar">
    <w:name w:val="Footnote Text Char"/>
    <w:basedOn w:val="DefaultParagraphFont"/>
    <w:link w:val="FootnoteText"/>
    <w:uiPriority w:val="99"/>
    <w:rsid w:val="00EB69D3"/>
    <w:rPr>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B69D3"/>
    <w:pPr>
      <w:spacing w:line="240" w:lineRule="auto"/>
      <w:ind w:firstLine="0"/>
    </w:pPr>
    <w:rPr>
      <w:rFonts w:asciiTheme="majorHAnsi" w:eastAsiaTheme="majorEastAsia" w:hAnsiTheme="majorHAnsi" w:cstheme="majorBidi"/>
      <w:sz w:val="22"/>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5"/>
    <w:semiHidden/>
    <w:rsid w:val="00336906"/>
    <w:rPr>
      <w:rFonts w:asciiTheme="majorHAnsi" w:eastAsiaTheme="majorEastAsia" w:hAnsiTheme="majorHAnsi" w:cstheme="majorBidi"/>
      <w:color w:val="6E6E6E" w:themeColor="accent1" w:themeShade="7F"/>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EB69D3"/>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B69D3"/>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EB69D3"/>
    <w:pPr>
      <w:pBdr>
        <w:top w:val="single" w:sz="4" w:space="10" w:color="6E6E6E" w:themeColor="accent1" w:themeShade="80"/>
        <w:bottom w:val="single" w:sz="4" w:space="10" w:color="6E6E6E" w:themeColor="accent1" w:themeShade="80"/>
      </w:pBdr>
      <w:spacing w:before="360" w:after="360"/>
      <w:ind w:left="864" w:right="864" w:firstLine="0"/>
      <w:jc w:val="center"/>
    </w:pPr>
    <w:rPr>
      <w:i/>
      <w:iCs/>
      <w:color w:val="6E6E6E" w:themeColor="accent1" w:themeShade="80"/>
    </w:rPr>
  </w:style>
  <w:style w:type="character" w:customStyle="1" w:styleId="IntenseQuoteChar">
    <w:name w:val="Intense Quote Char"/>
    <w:basedOn w:val="DefaultParagraphFont"/>
    <w:link w:val="IntenseQuote"/>
    <w:uiPriority w:val="30"/>
    <w:semiHidden/>
    <w:rsid w:val="00EB69D3"/>
    <w:rPr>
      <w:i/>
      <w:iCs/>
      <w:color w:val="6E6E6E" w:themeColor="accent1" w:themeShade="80"/>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8"/>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8"/>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rsid w:val="00EB69D3"/>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EB69D3"/>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EB69D3"/>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B69D3"/>
    <w:rPr>
      <w:rFonts w:ascii="Consolas" w:hAnsi="Consolas" w:cs="Consolas"/>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qFormat/>
    <w:rPr>
      <w:vertAlign w:val="superscript"/>
    </w:rPr>
  </w:style>
  <w:style w:type="table" w:customStyle="1" w:styleId="APAReport">
    <w:name w:val="APA Report"/>
    <w:basedOn w:val="TableNormal"/>
    <w:uiPriority w:val="99"/>
    <w:rsid w:val="003F7CBD"/>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7"/>
    <w:qFormat/>
    <w:pPr>
      <w:spacing w:before="240"/>
      <w:ind w:firstLine="0"/>
      <w:contextualSpacing/>
    </w:pPr>
  </w:style>
  <w:style w:type="paragraph" w:styleId="Footer">
    <w:name w:val="footer"/>
    <w:basedOn w:val="Normal"/>
    <w:link w:val="FooterChar"/>
    <w:uiPriority w:val="99"/>
    <w:qFormat/>
    <w:pPr>
      <w:tabs>
        <w:tab w:val="center" w:pos="4680"/>
        <w:tab w:val="right" w:pos="9360"/>
      </w:tabs>
      <w:spacing w:line="240" w:lineRule="auto"/>
    </w:pPr>
  </w:style>
  <w:style w:type="character" w:customStyle="1" w:styleId="FooterChar">
    <w:name w:val="Footer Char"/>
    <w:basedOn w:val="DefaultParagraphFont"/>
    <w:link w:val="Footer"/>
    <w:uiPriority w:val="99"/>
    <w:rsid w:val="00DB2E59"/>
  </w:style>
  <w:style w:type="character" w:styleId="CommentReference">
    <w:name w:val="annotation reference"/>
    <w:basedOn w:val="DefaultParagraphFont"/>
    <w:uiPriority w:val="99"/>
    <w:semiHidden/>
    <w:unhideWhenUsed/>
    <w:rsid w:val="00EB69D3"/>
    <w:rPr>
      <w:sz w:val="22"/>
      <w:szCs w:val="16"/>
    </w:rPr>
  </w:style>
  <w:style w:type="paragraph" w:styleId="EndnoteText">
    <w:name w:val="endnote text"/>
    <w:basedOn w:val="Normal"/>
    <w:link w:val="EndnoteTextChar"/>
    <w:uiPriority w:val="99"/>
    <w:semiHidden/>
    <w:unhideWhenUsed/>
    <w:qFormat/>
    <w:rsid w:val="00EB69D3"/>
    <w:pPr>
      <w:spacing w:line="240" w:lineRule="auto"/>
    </w:pPr>
    <w:rPr>
      <w:sz w:val="22"/>
      <w:szCs w:val="20"/>
    </w:rPr>
  </w:style>
  <w:style w:type="character" w:customStyle="1" w:styleId="EndnoteTextChar">
    <w:name w:val="Endnote Text Char"/>
    <w:basedOn w:val="DefaultParagraphFont"/>
    <w:link w:val="EndnoteText"/>
    <w:uiPriority w:val="99"/>
    <w:semiHidden/>
    <w:rsid w:val="00EB69D3"/>
    <w:rPr>
      <w:sz w:val="22"/>
      <w:szCs w:val="20"/>
    </w:rPr>
  </w:style>
  <w:style w:type="character" w:styleId="HTMLCode">
    <w:name w:val="HTML Code"/>
    <w:basedOn w:val="DefaultParagraphFont"/>
    <w:uiPriority w:val="99"/>
    <w:semiHidden/>
    <w:unhideWhenUsed/>
    <w:rsid w:val="00EB69D3"/>
    <w:rPr>
      <w:rFonts w:ascii="Consolas" w:hAnsi="Consolas"/>
      <w:sz w:val="22"/>
      <w:szCs w:val="20"/>
    </w:rPr>
  </w:style>
  <w:style w:type="character" w:styleId="HTMLKeyboard">
    <w:name w:val="HTML Keyboard"/>
    <w:basedOn w:val="DefaultParagraphFont"/>
    <w:uiPriority w:val="99"/>
    <w:semiHidden/>
    <w:unhideWhenUsed/>
    <w:rsid w:val="00EB69D3"/>
    <w:rPr>
      <w:rFonts w:ascii="Consolas" w:hAnsi="Consolas"/>
      <w:sz w:val="22"/>
      <w:szCs w:val="20"/>
    </w:rPr>
  </w:style>
  <w:style w:type="character" w:styleId="HTMLTypewriter">
    <w:name w:val="HTML Typewriter"/>
    <w:basedOn w:val="DefaultParagraphFont"/>
    <w:uiPriority w:val="99"/>
    <w:semiHidden/>
    <w:unhideWhenUsed/>
    <w:rsid w:val="00EB69D3"/>
    <w:rPr>
      <w:rFonts w:ascii="Consolas" w:hAnsi="Consolas"/>
      <w:sz w:val="22"/>
      <w:szCs w:val="20"/>
    </w:rPr>
  </w:style>
  <w:style w:type="paragraph" w:styleId="TOCHeading">
    <w:name w:val="TOC Heading"/>
    <w:basedOn w:val="Heading1"/>
    <w:next w:val="Normal"/>
    <w:uiPriority w:val="39"/>
    <w:semiHidden/>
    <w:unhideWhenUsed/>
    <w:qFormat/>
    <w:rsid w:val="00EB69D3"/>
    <w:pPr>
      <w:spacing w:before="240"/>
      <w:ind w:firstLine="720"/>
      <w:jc w:val="left"/>
      <w:outlineLvl w:val="9"/>
    </w:pPr>
    <w:rPr>
      <w:b w:val="0"/>
      <w:bCs w:val="0"/>
      <w:color w:val="6E6E6E" w:themeColor="accent1" w:themeShade="80"/>
      <w:sz w:val="32"/>
      <w:szCs w:val="32"/>
    </w:rPr>
  </w:style>
  <w:style w:type="character" w:styleId="IntenseReference">
    <w:name w:val="Intense Reference"/>
    <w:basedOn w:val="DefaultParagraphFont"/>
    <w:uiPriority w:val="32"/>
    <w:semiHidden/>
    <w:unhideWhenUsed/>
    <w:qFormat/>
    <w:rsid w:val="00EB69D3"/>
    <w:rPr>
      <w:b/>
      <w:bCs/>
      <w:caps w:val="0"/>
      <w:smallCaps/>
      <w:color w:val="6E6E6E" w:themeColor="accent1" w:themeShade="80"/>
      <w:spacing w:val="5"/>
    </w:rPr>
  </w:style>
  <w:style w:type="character" w:styleId="IntenseEmphasis">
    <w:name w:val="Intense Emphasis"/>
    <w:basedOn w:val="DefaultParagraphFont"/>
    <w:uiPriority w:val="21"/>
    <w:semiHidden/>
    <w:unhideWhenUsed/>
    <w:qFormat/>
    <w:rsid w:val="00EB69D3"/>
    <w:rPr>
      <w:i/>
      <w:iCs/>
      <w:color w:val="6E6E6E" w:themeColor="accent1" w:themeShade="80"/>
    </w:rPr>
  </w:style>
  <w:style w:type="table" w:styleId="GridTable4-Accent4">
    <w:name w:val="Grid Table 4 Accent 4"/>
    <w:basedOn w:val="TableNormal"/>
    <w:uiPriority w:val="49"/>
    <w:rsid w:val="003F7CBD"/>
    <w:pPr>
      <w:spacing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1">
    <w:name w:val="Grid Table 2 Accent 1"/>
    <w:basedOn w:val="TableNormal"/>
    <w:uiPriority w:val="47"/>
    <w:rsid w:val="008A78F1"/>
    <w:pPr>
      <w:spacing w:line="240" w:lineRule="auto"/>
    </w:pPr>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CellMar>
        <w:left w:w="0" w:type="dxa"/>
        <w:right w:w="0" w:type="dxa"/>
      </w:tblCellMar>
    </w:tblPr>
    <w:tblStylePr w:type="firstRow">
      <w:rPr>
        <w:b w:val="0"/>
        <w:bCs/>
        <w:i w:val="0"/>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customStyle="1" w:styleId="DecimalAligned">
    <w:name w:val="Decimal Aligned"/>
    <w:basedOn w:val="Normal"/>
    <w:uiPriority w:val="40"/>
    <w:qFormat/>
    <w:rsid w:val="008B0968"/>
    <w:pPr>
      <w:tabs>
        <w:tab w:val="decimal" w:pos="360"/>
      </w:tabs>
      <w:spacing w:after="200" w:line="276" w:lineRule="auto"/>
      <w:ind w:firstLine="0"/>
    </w:pPr>
    <w:rPr>
      <w:rFonts w:cs="Times New Roman"/>
      <w:color w:val="auto"/>
      <w:sz w:val="22"/>
      <w:szCs w:val="22"/>
      <w:lang w:eastAsia="en-US"/>
    </w:rPr>
  </w:style>
  <w:style w:type="character" w:styleId="SubtleEmphasis">
    <w:name w:val="Subtle Emphasis"/>
    <w:basedOn w:val="DefaultParagraphFont"/>
    <w:uiPriority w:val="19"/>
    <w:qFormat/>
    <w:rsid w:val="008B0968"/>
    <w:rPr>
      <w:i/>
      <w:iCs/>
    </w:rPr>
  </w:style>
  <w:style w:type="table" w:styleId="LightShading-Accent1">
    <w:name w:val="Light Shading Accent 1"/>
    <w:basedOn w:val="TableNormal"/>
    <w:uiPriority w:val="60"/>
    <w:rsid w:val="008B0968"/>
    <w:pPr>
      <w:spacing w:line="240" w:lineRule="auto"/>
      <w:ind w:firstLine="0"/>
    </w:pPr>
    <w:rPr>
      <w:color w:val="A5A5A5" w:themeColor="accent1" w:themeShade="BF"/>
      <w:sz w:val="22"/>
      <w:szCs w:val="22"/>
      <w:lang w:eastAsia="en-US"/>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stTable1Light-Accent3">
    <w:name w:val="List Table 1 Light Accent 3"/>
    <w:basedOn w:val="TableNormal"/>
    <w:uiPriority w:val="46"/>
    <w:rsid w:val="003974CD"/>
    <w:pPr>
      <w:spacing w:line="240" w:lineRule="auto"/>
    </w:pPr>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character" w:styleId="Hyperlink">
    <w:name w:val="Hyperlink"/>
    <w:basedOn w:val="DefaultParagraphFont"/>
    <w:uiPriority w:val="99"/>
    <w:unhideWhenUsed/>
    <w:rsid w:val="00401511"/>
    <w:rPr>
      <w:color w:val="5F5F5F" w:themeColor="hyperlink"/>
      <w:u w:val="single"/>
    </w:rPr>
  </w:style>
  <w:style w:type="character" w:styleId="UnresolvedMention">
    <w:name w:val="Unresolved Mention"/>
    <w:basedOn w:val="DefaultParagraphFont"/>
    <w:uiPriority w:val="99"/>
    <w:semiHidden/>
    <w:unhideWhenUsed/>
    <w:rsid w:val="00401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16188">
      <w:bodyDiv w:val="1"/>
      <w:marLeft w:val="0"/>
      <w:marRight w:val="0"/>
      <w:marTop w:val="0"/>
      <w:marBottom w:val="0"/>
      <w:divBdr>
        <w:top w:val="none" w:sz="0" w:space="0" w:color="auto"/>
        <w:left w:val="none" w:sz="0" w:space="0" w:color="auto"/>
        <w:bottom w:val="none" w:sz="0" w:space="0" w:color="auto"/>
        <w:right w:val="none" w:sz="0" w:space="0" w:color="auto"/>
      </w:divBdr>
    </w:div>
    <w:div w:id="119611805">
      <w:bodyDiv w:val="1"/>
      <w:marLeft w:val="0"/>
      <w:marRight w:val="0"/>
      <w:marTop w:val="0"/>
      <w:marBottom w:val="0"/>
      <w:divBdr>
        <w:top w:val="none" w:sz="0" w:space="0" w:color="auto"/>
        <w:left w:val="none" w:sz="0" w:space="0" w:color="auto"/>
        <w:bottom w:val="none" w:sz="0" w:space="0" w:color="auto"/>
        <w:right w:val="none" w:sz="0" w:space="0" w:color="auto"/>
      </w:divBdr>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172452811">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57390302">
      <w:bodyDiv w:val="1"/>
      <w:marLeft w:val="0"/>
      <w:marRight w:val="0"/>
      <w:marTop w:val="0"/>
      <w:marBottom w:val="0"/>
      <w:divBdr>
        <w:top w:val="none" w:sz="0" w:space="0" w:color="auto"/>
        <w:left w:val="none" w:sz="0" w:space="0" w:color="auto"/>
        <w:bottom w:val="none" w:sz="0" w:space="0" w:color="auto"/>
        <w:right w:val="none" w:sz="0" w:space="0" w:color="auto"/>
      </w:divBdr>
    </w:div>
    <w:div w:id="361398148">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0586766">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37861485">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586576658">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598177586">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758795635">
      <w:bodyDiv w:val="1"/>
      <w:marLeft w:val="0"/>
      <w:marRight w:val="0"/>
      <w:marTop w:val="0"/>
      <w:marBottom w:val="0"/>
      <w:divBdr>
        <w:top w:val="none" w:sz="0" w:space="0" w:color="auto"/>
        <w:left w:val="none" w:sz="0" w:space="0" w:color="auto"/>
        <w:bottom w:val="none" w:sz="0" w:space="0" w:color="auto"/>
        <w:right w:val="none" w:sz="0" w:space="0" w:color="auto"/>
      </w:divBdr>
    </w:div>
    <w:div w:id="806701571">
      <w:bodyDiv w:val="1"/>
      <w:marLeft w:val="0"/>
      <w:marRight w:val="0"/>
      <w:marTop w:val="0"/>
      <w:marBottom w:val="0"/>
      <w:divBdr>
        <w:top w:val="none" w:sz="0" w:space="0" w:color="auto"/>
        <w:left w:val="none" w:sz="0" w:space="0" w:color="auto"/>
        <w:bottom w:val="none" w:sz="0" w:space="0" w:color="auto"/>
        <w:right w:val="none" w:sz="0" w:space="0" w:color="auto"/>
      </w:divBdr>
    </w:div>
    <w:div w:id="938370310">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333140071">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40367989">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39198875">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08074866">
      <w:bodyDiv w:val="1"/>
      <w:marLeft w:val="0"/>
      <w:marRight w:val="0"/>
      <w:marTop w:val="0"/>
      <w:marBottom w:val="0"/>
      <w:divBdr>
        <w:top w:val="none" w:sz="0" w:space="0" w:color="auto"/>
        <w:left w:val="none" w:sz="0" w:space="0" w:color="auto"/>
        <w:bottom w:val="none" w:sz="0" w:space="0" w:color="auto"/>
        <w:right w:val="none" w:sz="0" w:space="0" w:color="auto"/>
      </w:divBdr>
    </w:div>
    <w:div w:id="1647467094">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74769787">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09816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vid19.who.int/region/amro/country/us"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1111/nin.1213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16/j.ajic.2021.12.013"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oi.org/10.3390/rel6020670" TargetMode="External"/><Relationship Id="rId4" Type="http://schemas.openxmlformats.org/officeDocument/2006/relationships/styles" Target="styles.xml"/><Relationship Id="rId9" Type="http://schemas.openxmlformats.org/officeDocument/2006/relationships/hyperlink" Target="https://www.astate.edu/dotAsset/7a3b152c-b73a-45d6-b8a3-7ecf7f786f6a.pdf" TargetMode="External"/><Relationship Id="rId14" Type="http://schemas.openxmlformats.org/officeDocument/2006/relationships/hyperlink" Target="https://doi.org/10.1016/j.nedt.2016.01.0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APA%20style%20paper.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6C6C6C"/>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employees xmlns="http://schemas.microsoft.com/temp/samples">
  <employee>
    <Customer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w:rsidRDefault="00FD79F2"&gt;&lt;w:r&gt;&lt;w:t&gt;P&lt;/w:t&gt;&lt;/w:r&gt;&lt;w:r w:rsidR="00416E42"&gt;&lt;w:t&gt;RAYER AND PREVENTAT&lt;/w:t&gt;&lt;/w:r&gt;&lt;w:r w:rsidR="003A0BD6"&gt;&lt;w:t&gt;IVE MEASURES&lt;/w:t&gt;&lt;/w:r&gt;&lt;w:r w:rsidR="00965E79"&gt;&lt;w:t xml:space="preserve"&gt; AGAINST COVID-19&lt;/w:t&gt;&lt;/w:r&gt;&lt;/w:p&gt;&lt;w:sectPr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w:cstheme="minorBidi"/&gt;&lt;w:color w:val="000000" w:themeColor="text1"/&gt;&lt;w:sz w:val="24"/&gt;&lt;w:szCs w:val="24"/&gt;&lt;w:lang w:val="en-US" w:eastAsia="ja-JP" w:bidi="ar-SA"/&gt;&lt;/w:rPr&gt;&lt;/w:rPrDefault&gt;&lt;w:pPrDefault&gt;&lt;w:pPr&gt;&lt;w:spacing w:line="480" w:lineRule="auto"/&gt;&lt;w:ind w:firstLine="720"/&gt;&lt;/w:pPr&gt;&lt;/w:pPrDefault&gt;&lt;/w:docDefaults&gt;&lt;w:style w:type="paragraph" w:default="1" w:styleId="Normal"&gt;&lt;w:name w:val="Normal"/&gt;&lt;w:qFormat/&gt;&lt;/w:style&gt;&lt;w:style w:type="character" w:default="1" w:styleId="DefaultParagraphFont"&gt;&lt;w:name w:val="Default Paragraph Font"/&gt;&lt;w:uiPriority w:val="1"/&gt;&lt;w:unhideWhenUsed/&gt;&lt;/w:style&gt;&lt;w:style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CustomerName>
    <CompanyName/>
    <SenderAddress/>
    <Address/>
  </employee>
</employees>
</file>

<file path=customXml/itemProps1.xml><?xml version="1.0" encoding="utf-8"?>
<ds:datastoreItem xmlns:ds="http://schemas.openxmlformats.org/officeDocument/2006/customXml" ds:itemID="{0D181A23-612A-473F-A673-77E565BE647E}">
  <ds:schemaRefs>
    <ds:schemaRef ds:uri="http://schemas.openxmlformats.org/officeDocument/2006/bibliography"/>
  </ds:schemaRefs>
</ds:datastoreItem>
</file>

<file path=customXml/itemProps2.xml><?xml version="1.0" encoding="utf-8"?>
<ds:datastoreItem xmlns:ds="http://schemas.openxmlformats.org/officeDocument/2006/customXml" ds:itemID="{B98E728A-96FF-4995-885C-5AF887AB0C35}">
  <ds:schemaRefs>
    <ds:schemaRef ds:uri="http://schemas.microsoft.com/temp/samples"/>
  </ds:schemaRefs>
</ds:datastoreItem>
</file>

<file path=docProps/app.xml><?xml version="1.0" encoding="utf-8"?>
<Properties xmlns="http://schemas.openxmlformats.org/officeDocument/2006/extended-properties" xmlns:vt="http://schemas.openxmlformats.org/officeDocument/2006/docPropsVTypes">
  <Template>APA style paper</Template>
  <TotalTime>11104</TotalTime>
  <Pages>19</Pages>
  <Words>4214</Words>
  <Characters>24022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Alexis Turner</cp:lastModifiedBy>
  <cp:revision>770</cp:revision>
  <dcterms:created xsi:type="dcterms:W3CDTF">2022-03-20T14:18:00Z</dcterms:created>
  <dcterms:modified xsi:type="dcterms:W3CDTF">2022-05-04T17:52:00Z</dcterms:modified>
</cp:coreProperties>
</file>